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hAnsi="仿宋_GB2312" w:eastAsia="仿宋_GB2312" w:cs="仿宋_GB2312"/>
          <w:b/>
          <w:bCs/>
          <w:sz w:val="32"/>
          <w:szCs w:val="40"/>
        </w:rPr>
      </w:pPr>
      <w:bookmarkStart w:id="1" w:name="_GoBack"/>
      <w:bookmarkEnd w:id="1"/>
      <w:r>
        <w:rPr>
          <w:rFonts w:hint="eastAsia" w:ascii="仿宋_GB2312" w:hAnsi="仿宋_GB2312" w:eastAsia="仿宋_GB2312" w:cs="仿宋_GB2312"/>
          <w:b/>
          <w:bCs/>
          <w:sz w:val="32"/>
          <w:szCs w:val="40"/>
        </w:rPr>
        <w:t>附件2</w:t>
      </w:r>
    </w:p>
    <w:p>
      <w:pPr>
        <w:spacing w:line="560" w:lineRule="exact"/>
        <w:jc w:val="left"/>
        <w:rPr>
          <w:rFonts w:ascii="仿宋_GB2312" w:hAnsi="仿宋_GB2312" w:eastAsia="仿宋_GB2312" w:cs="仿宋_GB2312"/>
          <w:sz w:val="32"/>
          <w:szCs w:val="40"/>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2025年省市县三级局重复抽检预警规则</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福建省市场监管局关于加强和改进食品安全抽检监测工作意见的通知》（闽市监食检〔2024〕302号，以下简称“302号文”）要求，进一步强化食品安全风险防控能力，提升抽检精准性有效性，各地要充分使用“食品抽检预警控制系统”微信小程序（以下简称“预警小程序”，登录二维码附后），用信息化手段解决重复抽检问题。</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一、职责分工</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（一）市、县局职责。</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指导本辖区内承检机构正确使用“预警小程序”，确保相关人员熟练掌握系统功能。</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及时查看承检机构对被抽样单位的抽样超限预警提示（预警规则附后），发现问题后立即督促承检机构进行整改;</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对于“预警小程序”推送的抽样异常信息（如无合法生产经营资质、产品来源不明等）,属地市场监管部门要及时核实并开展处置。</w:t>
      </w:r>
    </w:p>
    <w:p>
      <w:pPr>
        <w:spacing w:line="560" w:lineRule="exact"/>
        <w:ind w:firstLine="643" w:firstLineChars="200"/>
        <w:rPr>
          <w:rFonts w:ascii="仿宋" w:hAnsi="仿宋" w:eastAsia="仿宋" w:cs="仿宋"/>
          <w:sz w:val="32"/>
          <w:szCs w:val="32"/>
        </w:rPr>
      </w:pPr>
      <w:r>
        <w:rPr>
          <w:rFonts w:hint="eastAsia" w:ascii="楷体_GB2312" w:hAnsi="楷体_GB2312" w:eastAsia="楷体_GB2312" w:cs="楷体_GB2312"/>
          <w:b/>
          <w:bCs/>
          <w:sz w:val="32"/>
          <w:szCs w:val="32"/>
        </w:rPr>
        <w:t>（二）承检机构职责。</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在执行抽样任务前，须登录“预警小程序”查询被抽样单位是否存在超限预警提示，如存在预警提示的，应停止抽样并报属地市、县局备案。</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在抽样过程中发现被抽样单位存在无合法生产经营资质，销售过期、变质食品以及其他食品安全风险隐患情形的，须通过“预警小程序”填报有关信息。</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承检机构负责人对本单位抽样人员上报的异常信息进行审核，确保内容真实、证据充分后提交“预警小程序”。</w:t>
      </w:r>
    </w:p>
    <w:p>
      <w:pPr>
        <w:spacing w:line="560" w:lineRule="exact"/>
        <w:ind w:firstLine="640" w:firstLineChars="200"/>
        <w:rPr>
          <w:sz w:val="32"/>
          <w:szCs w:val="32"/>
        </w:rPr>
      </w:pPr>
      <w:r>
        <w:rPr>
          <w:rFonts w:hint="eastAsia" w:ascii="黑体" w:hAnsi="黑体" w:eastAsia="黑体" w:cs="黑体"/>
          <w:sz w:val="32"/>
          <w:szCs w:val="32"/>
        </w:rPr>
        <w:t>二、有效推动</w:t>
      </w:r>
    </w:p>
    <w:p>
      <w:pPr>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市、县局应确保辖区内所有承检机构充分使用“预警小程序”，并对承检机构的使用情况进行监督检查。对发现的抽样不规范行为，要及时指出并要求整改，同时引导承检机构做好食品抽样异常信息的报送工作。省局将定期对各单位使用情况开展检查，对未按预警规则要求进行抽样的数据将予以退回，同时在全省市场监管系统通报检查情况。</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三、加强管理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市、县局要及时将本辖区内2025年承检机构名单报送设区市局食品抽检科，由市局汇总统一上报省局食品抽检处。各单位要加强对账号和密码的管理，防止出现账号和密码被盗用、乱用等现象。</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附表:1.</w:t>
      </w:r>
      <w:bookmarkStart w:id="0" w:name="OLE_LINK1"/>
      <w:r>
        <w:rPr>
          <w:rFonts w:hint="eastAsia" w:ascii="仿宋_GB2312" w:hAnsi="仿宋_GB2312" w:eastAsia="仿宋_GB2312" w:cs="仿宋_GB2312"/>
          <w:sz w:val="32"/>
          <w:szCs w:val="32"/>
        </w:rPr>
        <w:t>“预警小程序”</w:t>
      </w:r>
      <w:bookmarkEnd w:id="0"/>
      <w:r>
        <w:rPr>
          <w:rFonts w:hint="eastAsia" w:ascii="仿宋_GB2312" w:hAnsi="仿宋_GB2312" w:eastAsia="仿宋_GB2312" w:cs="仿宋_GB2312"/>
          <w:sz w:val="32"/>
          <w:szCs w:val="32"/>
        </w:rPr>
        <w:t>登录二维码</w:t>
      </w:r>
    </w:p>
    <w:p>
      <w:pPr>
        <w:spacing w:line="560" w:lineRule="exact"/>
        <w:ind w:firstLine="1478" w:firstLineChars="462"/>
        <w:rPr>
          <w:rFonts w:ascii="仿宋_GB2312" w:hAnsi="仿宋_GB2312" w:eastAsia="仿宋_GB2312" w:cs="仿宋_GB2312"/>
          <w:sz w:val="32"/>
          <w:szCs w:val="32"/>
        </w:rPr>
      </w:pPr>
      <w:r>
        <w:rPr>
          <w:rFonts w:hint="eastAsia" w:ascii="仿宋_GB2312" w:hAnsi="仿宋_GB2312" w:eastAsia="仿宋_GB2312" w:cs="仿宋_GB2312"/>
          <w:sz w:val="32"/>
          <w:szCs w:val="32"/>
        </w:rPr>
        <w:t>2.“预警小程序”预警规则</w:t>
      </w:r>
    </w:p>
    <w:p>
      <w:pPr>
        <w:spacing w:line="560" w:lineRule="exact"/>
        <w:ind w:firstLine="640" w:firstLineChars="200"/>
        <w:rPr>
          <w:rFonts w:ascii="仿宋" w:hAnsi="仿宋" w:eastAsia="仿宋" w:cs="仿宋"/>
          <w:sz w:val="32"/>
          <w:szCs w:val="32"/>
        </w:rPr>
      </w:pPr>
    </w:p>
    <w:p>
      <w:pPr>
        <w:spacing w:line="560" w:lineRule="exact"/>
        <w:rPr>
          <w:rFonts w:ascii="仿宋" w:hAnsi="仿宋" w:eastAsia="仿宋" w:cs="仿宋"/>
          <w:sz w:val="32"/>
          <w:szCs w:val="32"/>
        </w:rPr>
      </w:pP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E450069"/>
    <w:rsid w:val="000A33D1"/>
    <w:rsid w:val="000C6DCC"/>
    <w:rsid w:val="00131AF9"/>
    <w:rsid w:val="005A1A17"/>
    <w:rsid w:val="0083220A"/>
    <w:rsid w:val="00A31389"/>
    <w:rsid w:val="00E01A04"/>
    <w:rsid w:val="00EF2BE3"/>
    <w:rsid w:val="04D2759A"/>
    <w:rsid w:val="06EE74AF"/>
    <w:rsid w:val="13C13554"/>
    <w:rsid w:val="174058A5"/>
    <w:rsid w:val="3125670F"/>
    <w:rsid w:val="471718B1"/>
    <w:rsid w:val="4E5459BC"/>
    <w:rsid w:val="6E4500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804</Words>
  <Characters>33</Characters>
  <Lines>1</Lines>
  <Paragraphs>1</Paragraphs>
  <TotalTime>43</TotalTime>
  <ScaleCrop>false</ScaleCrop>
  <LinksUpToDate>false</LinksUpToDate>
  <CharactersWithSpaces>836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2025-02-25T05:52:00Z</dcterms:created>
  <dc:creator>Administrator</dc:creator>
  <cp:lastModifiedBy>林娴</cp:lastModifiedBy>
  <cp:lastPrinted>2025-02-28T07:40:00Z</cp:lastPrinted>
  <dcterms:modified xsi:type="dcterms:W3CDTF">2025-04-16T03:05:46Z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3834882162F643F6B1AD5CD72422293E</vt:lpwstr>
  </property>
</Properties>
</file>