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附件3</w:t>
      </w:r>
    </w:p>
    <w:p>
      <w:pPr>
        <w:spacing w:line="560" w:lineRule="exact"/>
      </w:pPr>
    </w:p>
    <w:p>
      <w:pPr>
        <w:spacing w:line="56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省局2025年食品抽检监测计划实施工作指南</w:t>
      </w:r>
    </w:p>
    <w:p>
      <w:pPr>
        <w:spacing w:line="560" w:lineRule="exact"/>
        <w:jc w:val="center"/>
        <w:rPr>
          <w:rFonts w:ascii="仿宋_GB2312" w:hAnsi="仿宋_GB2312" w:eastAsia="仿宋_GB2312" w:cs="仿宋_GB2312"/>
          <w:color w:val="000000"/>
          <w:sz w:val="32"/>
          <w:szCs w:val="32"/>
        </w:rPr>
      </w:pPr>
    </w:p>
    <w:p>
      <w:pPr>
        <w:spacing w:line="560" w:lineRule="exact"/>
        <w:ind w:firstLine="640" w:firstLineChars="200"/>
        <w:jc w:val="left"/>
        <w:rPr>
          <w:rFonts w:ascii="黑体" w:hAnsi="黑体" w:eastAsia="黑体" w:cs="黑体"/>
          <w:color w:val="000000"/>
          <w:sz w:val="32"/>
          <w:szCs w:val="32"/>
        </w:rPr>
      </w:pPr>
      <w:r>
        <w:rPr>
          <w:rFonts w:hint="eastAsia" w:ascii="黑体" w:hAnsi="黑体" w:eastAsia="黑体" w:cs="黑体"/>
          <w:color w:val="000000"/>
          <w:sz w:val="32"/>
          <w:szCs w:val="32"/>
        </w:rPr>
        <w:t>一、监督抽检工作指南</w:t>
      </w:r>
    </w:p>
    <w:p>
      <w:pPr>
        <w:spacing w:line="56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（一）坚持问题导向。</w:t>
      </w:r>
      <w:r>
        <w:rPr>
          <w:rFonts w:hint="eastAsia" w:ascii="仿宋_GB2312" w:hAnsi="仿宋_GB2312" w:eastAsia="仿宋_GB2312" w:cs="仿宋_GB2312"/>
          <w:sz w:val="32"/>
          <w:szCs w:val="32"/>
        </w:rPr>
        <w:t>强化新业态新模式食品抽检，持续开展直播带货、生鲜电商、餐饮外卖抽检，提高网络环节抽检比例；探索组建食品抽检“蓝军”，实施“指南针”行动，对舆情反映的食品问题实施“随时检”，提高主动发现风险的意愿和能力；强化企业信用风险分类结果的运用，对信用风险高的企业适当提高抽检比例；对问题线索企业实施飞行抽检，对检出不合格的企业实施跟踪抽检；原则上不将标签标识、感官等无需通过仪器设备检验的列为抽检项目。</w:t>
      </w:r>
    </w:p>
    <w:p>
      <w:pPr>
        <w:spacing w:line="56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（二）聚焦群众关切。</w:t>
      </w:r>
      <w:r>
        <w:rPr>
          <w:rFonts w:hint="eastAsia" w:ascii="仿宋_GB2312" w:hAnsi="仿宋_GB2312" w:eastAsia="仿宋_GB2312" w:cs="仿宋_GB2312"/>
          <w:sz w:val="32"/>
          <w:szCs w:val="32"/>
        </w:rPr>
        <w:t>以婴幼儿配方食品、保健食品等“ 一老一小”食品以及大宗食材为重点，以农兽药残留超标、两超一非、果蔬保鲜剂滥用等突出问题为重点，以学校食堂及集中采购单位、食用农产品批发市场、连锁快餐店等区域为重点，加大抽检力度，同时做好预制菜等抽检的技术储备；进一步推动“你点我检服务惠民生”活动常态化，提高“你点我检”抽检批次量，通过看得见、摸得着的食品抽检工作，让老百姓感受到实实在在的食品安全获得感和幸福感。</w:t>
      </w:r>
    </w:p>
    <w:p>
      <w:pPr>
        <w:spacing w:line="56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（三）强化统筹协调。</w:t>
      </w:r>
      <w:r>
        <w:rPr>
          <w:rFonts w:hint="eastAsia" w:ascii="仿宋_GB2312" w:hAnsi="仿宋_GB2312" w:eastAsia="仿宋_GB2312" w:cs="仿宋_GB2312"/>
          <w:sz w:val="32"/>
          <w:szCs w:val="32"/>
        </w:rPr>
        <w:t>各级市场监管部门要精心谋划和周密部署本级抽检计划，结合实际科学确定省内食品抽检品种及项目，针对食品安全风险信息、舆情事件、食品安全标准变化等动态增补抽检品种项目。落实省市县三级食品抽检任务分工，利用省局开发的“食品抽检预警控制系统”校验抽样情况，力避重复抽检。婴幼儿配方食品原则上由总局组织开展，省局和市、县局确需对辖区内生产的婴幼儿配方食品开展抽检的，应进行全项目检验。</w:t>
      </w:r>
    </w:p>
    <w:p>
      <w:pPr>
        <w:spacing w:line="56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（四）及时处置风险。</w:t>
      </w:r>
      <w:r>
        <w:rPr>
          <w:rFonts w:hint="eastAsia" w:ascii="仿宋_GB2312" w:hAnsi="仿宋_GB2312" w:eastAsia="仿宋_GB2312" w:cs="仿宋_GB2312"/>
          <w:sz w:val="32"/>
          <w:szCs w:val="32"/>
        </w:rPr>
        <w:t>针对非法添加等重点问题、婴幼儿配方食品等重点产品、校园周边等重点区域、多批次抽检不合格以及连续多年抽检不合格等重点企业，强化核查处置通报督办，曝光典型案件，落实“最严厉的处罚”要求，提高核查处置威慑力。要强化抽检不合格和问题食品召回，压实食品生产经营者主体责任，防控食品安全风险。要深化“三书一函＋核查处置”运用，确保核查处置“五个到位”落到实处。继续推行核查处置技术帮扶，推动实现“处置一个问题、解决一类风险、提升一个产业”。</w:t>
      </w:r>
    </w:p>
    <w:p>
      <w:pPr>
        <w:spacing w:line="56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（五）提升数据规范。</w:t>
      </w:r>
      <w:r>
        <w:rPr>
          <w:rFonts w:hint="eastAsia" w:ascii="仿宋_GB2312" w:hAnsi="仿宋_GB2312" w:eastAsia="仿宋_GB2312" w:cs="仿宋_GB2312"/>
          <w:sz w:val="32"/>
          <w:szCs w:val="32"/>
        </w:rPr>
        <w:t>强化抽检监测数据安全风险防控意识，保证抽检监测数据安全。省局将继续加强国抽信息系统使用培训和指导，持续保持线上组织抽检工作，规范填报抽检数据。不合格数据已在国抽信息系统完全提交，且市场监管部门已将该检验报告送达相关食品生产经营者的，不得撤销处理；其他已提交的食品抽检数据，在撤销和退修前，应经省局审核同意；涉及不合格样品的，组织抽检的市场监管部门在办理退修前应通知领办核查处置任务的市场监管部门。要加强国抽信息系统中核查处置数据的抽查，保证数据真实、准确。坚持按需开设国抽信息系统账号，加强动态管理，及时做好清理调整。</w:t>
      </w:r>
    </w:p>
    <w:p>
      <w:pPr>
        <w:spacing w:line="56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（六）严格机构管理。</w:t>
      </w:r>
      <w:r>
        <w:rPr>
          <w:rFonts w:hint="eastAsia" w:ascii="仿宋_GB2312" w:hAnsi="仿宋_GB2312" w:eastAsia="仿宋_GB2312" w:cs="仿宋_GB2312"/>
          <w:sz w:val="32"/>
          <w:szCs w:val="32"/>
        </w:rPr>
        <w:t>要综合采用数据抽查、现场检查等多种手段，持续加强承检机构考核管理，确保抽检数据合规、真实、准确。对存在问题的承检机构，依法依规严肃处理，对涉嫌出具不实或虚假检验报告的承检机构，还应及时通报认可检测等部门。</w:t>
      </w:r>
    </w:p>
    <w:p>
      <w:pPr>
        <w:spacing w:line="56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（七）规范信息公开。</w:t>
      </w:r>
      <w:r>
        <w:rPr>
          <w:rFonts w:hint="eastAsia" w:ascii="仿宋_GB2312" w:hAnsi="仿宋_GB2312" w:eastAsia="仿宋_GB2312" w:cs="仿宋_GB2312"/>
          <w:sz w:val="32"/>
          <w:szCs w:val="32"/>
        </w:rPr>
        <w:t>完善抽检结果信息公布制度机制，省局将继续加强对市、县局公布抽检信息的指导，严格审核把关，按照“时、度、效”原则，稳妥公布食品安全抽检信息。</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二、风险监测工作指南</w:t>
      </w:r>
    </w:p>
    <w:p>
      <w:pPr>
        <w:spacing w:line="56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（一）坚持风险靶向。</w:t>
      </w:r>
      <w:r>
        <w:rPr>
          <w:rFonts w:hint="eastAsia" w:ascii="仿宋_GB2312" w:hAnsi="仿宋_GB2312" w:eastAsia="仿宋_GB2312" w:cs="仿宋_GB2312"/>
          <w:sz w:val="32"/>
          <w:szCs w:val="32"/>
        </w:rPr>
        <w:t>以各部门风险通报、消费者投诉、舆情热点以及境外预警等风险信息为重点，对涉及假冒伪劣、以次充好，侵害消费者利益、可能添加到食品中的非食用物质等开展监测；鼓励福州、厦门、漳州、泉州等有条件的地区，积极探索延伸性监测，摸排风险原因；在监督抽检工作中发现可能存在风险隐患需要监测时，可采取风险监测方式抽样。</w:t>
      </w:r>
    </w:p>
    <w:p>
      <w:pPr>
        <w:spacing w:line="56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（二）科学研判风险。</w:t>
      </w:r>
      <w:r>
        <w:rPr>
          <w:rFonts w:hint="eastAsia" w:ascii="仿宋_GB2312" w:hAnsi="仿宋_GB2312" w:eastAsia="仿宋_GB2312" w:cs="仿宋_GB2312"/>
          <w:sz w:val="32"/>
          <w:szCs w:val="32"/>
        </w:rPr>
        <w:t>风险监测原则上应有适用的检验方法、有可参考的研判依据；应建立常态化风险会商研判机制，加强风险会商，科学分析监测结果，排查潜在风险隐患。</w:t>
      </w:r>
    </w:p>
    <w:p>
      <w:pPr>
        <w:spacing w:line="56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（三）组织开展调查。</w:t>
      </w:r>
      <w:r>
        <w:rPr>
          <w:rFonts w:hint="eastAsia" w:ascii="仿宋_GB2312" w:hAnsi="仿宋_GB2312" w:eastAsia="仿宋_GB2312" w:cs="仿宋_GB2312"/>
          <w:sz w:val="32"/>
          <w:szCs w:val="32"/>
        </w:rPr>
        <w:t>风险监测结果经研判表明存在食品安全隐患的，属地市场监管部门应及时通知相关食品生产经营者，并要求其控制风险、消除隐患；生产经营企业对问题结果有疑义的，应提供相关证明材料，由市场监管部门组织研究分析。风险监测发现的食品安全风险信息应核实并向同级卫生健康部门通报。风险监测结果和核查处置信息不对外公布。</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三、评价性抽检工作指南</w:t>
      </w:r>
    </w:p>
    <w:p>
      <w:pPr>
        <w:spacing w:line="56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（一）坚持科学评价。</w:t>
      </w:r>
      <w:r>
        <w:rPr>
          <w:rFonts w:hint="eastAsia" w:ascii="仿宋_GB2312" w:hAnsi="仿宋_GB2312" w:eastAsia="仿宋_GB2312" w:cs="仿宋_GB2312"/>
          <w:sz w:val="32"/>
          <w:szCs w:val="32"/>
        </w:rPr>
        <w:t>以居民膳食消费量大的主要食品品种为评价重点，保持检验项目相对稳定；综合考虑人口和膳食结构等因素安排抽检任务；中央转移支付地方和省级市场监管部门预包装食品落实优先生产环节抽样；持续推进食用农产品评价性抽检“哨点”制。</w:t>
      </w:r>
    </w:p>
    <w:p>
      <w:pPr>
        <w:spacing w:line="56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（二）坚持广泛覆盖。</w:t>
      </w:r>
      <w:r>
        <w:rPr>
          <w:rFonts w:hint="eastAsia" w:ascii="仿宋_GB2312" w:hAnsi="仿宋_GB2312" w:eastAsia="仿宋_GB2312" w:cs="仿宋_GB2312"/>
          <w:sz w:val="32"/>
          <w:szCs w:val="32"/>
        </w:rPr>
        <w:t xml:space="preserve">应覆盖食品生产、经营等不同环节；覆盖批发市场、商场超市等不同场所；覆盖城市、农村等不同区域，在农村地区抽检量不低于30％。 </w:t>
      </w:r>
    </w:p>
    <w:p>
      <w:pPr>
        <w:spacing w:line="56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（三）强化结果运用。</w:t>
      </w:r>
      <w:r>
        <w:rPr>
          <w:rFonts w:hint="eastAsia" w:ascii="仿宋_GB2312" w:hAnsi="仿宋_GB2312" w:eastAsia="仿宋_GB2312" w:cs="仿宋_GB2312"/>
          <w:sz w:val="32"/>
          <w:szCs w:val="32"/>
        </w:rPr>
        <w:t>综合食品消费量、不合格项目危害程度、被抽样单位规模和食品产地等多因素，客观评价大宗食品的食品安全状况；通过穿透式抽检，发挥评价性抽检的验证作用。</w:t>
      </w:r>
    </w:p>
    <w:sectPr>
      <w:footerReference r:id="rId3" w:type="default"/>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FangSong_GB2312">
    <w:altName w:val="仿宋_GB2312"/>
    <w:panose1 w:val="02010609060101010101"/>
    <w:charset w:val="00"/>
    <w:family w:val="auto"/>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path/>
          <v:fill on="f" focussize="0,0"/>
          <v:stroke on="f" weight="0.5pt" joinstyle="miter"/>
          <v:imagedata o:title=""/>
          <o:lock v:ext="edit"/>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3DB41E4"/>
    <w:rsid w:val="00017366"/>
    <w:rsid w:val="004D5EFB"/>
    <w:rsid w:val="005268E7"/>
    <w:rsid w:val="00565A27"/>
    <w:rsid w:val="00791762"/>
    <w:rsid w:val="007E2422"/>
    <w:rsid w:val="00865D0F"/>
    <w:rsid w:val="00A934EF"/>
    <w:rsid w:val="00B40D35"/>
    <w:rsid w:val="03DB41E4"/>
    <w:rsid w:val="05546B8E"/>
    <w:rsid w:val="320C0B0A"/>
    <w:rsid w:val="353935AC"/>
    <w:rsid w:val="56727C0A"/>
    <w:rsid w:val="68F55432"/>
    <w:rsid w:val="6B660036"/>
    <w:rsid w:val="7C707BE0"/>
    <w:rsid w:val="FEB7FB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200" w:firstLineChars="200"/>
    </w:pPr>
    <w:rPr>
      <w:rFonts w:ascii="Calibri" w:hAnsi="Calibri" w:eastAsia="宋体" w:cs="Times New Roman"/>
    </w:rPr>
  </w:style>
  <w:style w:type="paragraph" w:styleId="3">
    <w:name w:val="Body Text"/>
    <w:basedOn w:val="1"/>
    <w:semiHidden/>
    <w:qFormat/>
    <w:uiPriority w:val="0"/>
    <w:rPr>
      <w:rFonts w:ascii="FangSong_GB2312" w:hAnsi="FangSong_GB2312" w:eastAsia="FangSong_GB2312" w:cs="FangSong_GB2312"/>
      <w:sz w:val="29"/>
      <w:szCs w:val="29"/>
      <w:lang w:eastAsia="en-US"/>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2008</Words>
  <Characters>26</Characters>
  <Lines>1</Lines>
  <Paragraphs>4</Paragraphs>
  <TotalTime>32</TotalTime>
  <ScaleCrop>false</ScaleCrop>
  <LinksUpToDate>false</LinksUpToDate>
  <CharactersWithSpaces>2030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2025-02-25T01:50:00Z</dcterms:created>
  <dc:creator>Administrator</dc:creator>
  <cp:lastModifiedBy>林娴</cp:lastModifiedBy>
  <cp:lastPrinted>2025-02-28T01:03:00Z</cp:lastPrinted>
  <dcterms:modified xsi:type="dcterms:W3CDTF">2025-04-16T03:06:38Z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D606846F3D894A06ADD6B7091CDAA50C</vt:lpwstr>
  </property>
</Properties>
</file>