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ascii="仿宋" w:hAnsi="仿宋" w:eastAsia="仿宋"/>
          <w:b/>
          <w:sz w:val="32"/>
          <w:szCs w:val="32"/>
        </w:rPr>
      </w:pPr>
      <w:r>
        <w:rPr>
          <w:rFonts w:hint="eastAsia" w:ascii="仿宋" w:hAnsi="仿宋" w:eastAsia="仿宋"/>
          <w:b/>
          <w:sz w:val="32"/>
          <w:szCs w:val="32"/>
        </w:rPr>
        <w:t>附件1</w:t>
      </w:r>
    </w:p>
    <w:p>
      <w:pPr>
        <w:jc w:val="center"/>
        <w:rPr>
          <w:rFonts w:ascii="宋体" w:hAnsi="宋体"/>
          <w:b/>
          <w:sz w:val="44"/>
          <w:szCs w:val="44"/>
        </w:rPr>
      </w:pPr>
    </w:p>
    <w:p>
      <w:pPr>
        <w:jc w:val="center"/>
        <w:rPr>
          <w:rFonts w:ascii="仿宋" w:hAnsi="仿宋" w:eastAsia="仿宋"/>
          <w:sz w:val="44"/>
          <w:szCs w:val="44"/>
        </w:rPr>
      </w:pPr>
      <w:r>
        <w:rPr>
          <w:rFonts w:hint="eastAsia" w:ascii="宋体" w:hAnsi="宋体"/>
          <w:b/>
          <w:sz w:val="44"/>
          <w:szCs w:val="44"/>
        </w:rPr>
        <w:t>2025年新罗区食品抽检监测计划</w:t>
      </w:r>
    </w:p>
    <w:p>
      <w:pPr>
        <w:rPr>
          <w:rFonts w:ascii="仿宋" w:hAnsi="仿宋" w:eastAsia="仿宋"/>
          <w:sz w:val="32"/>
          <w:szCs w:val="32"/>
        </w:rPr>
      </w:pPr>
      <w:r>
        <w:rPr>
          <w:rFonts w:hint="eastAsia" w:ascii="仿宋" w:hAnsi="仿宋" w:eastAsia="仿宋"/>
          <w:sz w:val="32"/>
          <w:szCs w:val="32"/>
        </w:rPr>
        <w:t xml:space="preserve"> </w:t>
      </w:r>
    </w:p>
    <w:p>
      <w:pPr>
        <w:spacing w:line="560" w:lineRule="exact"/>
        <w:contextualSpacing/>
        <w:rPr>
          <w:rFonts w:ascii="仿宋" w:hAnsi="仿宋" w:eastAsia="仿宋" w:cs="仿宋_GB2312"/>
          <w:sz w:val="32"/>
          <w:szCs w:val="32"/>
        </w:rPr>
      </w:pPr>
      <w:r>
        <w:rPr>
          <w:rFonts w:hint="eastAsia" w:ascii="仿宋" w:hAnsi="仿宋" w:eastAsia="仿宋"/>
          <w:sz w:val="32"/>
          <w:szCs w:val="32"/>
        </w:rPr>
        <w:t xml:space="preserve">   区局组织开展抽检监测任务1354批次，</w:t>
      </w:r>
      <w:r>
        <w:rPr>
          <w:rFonts w:hint="eastAsia" w:ascii="仿宋" w:hAnsi="仿宋" w:eastAsia="仿宋" w:cs="仿宋_GB2312"/>
          <w:sz w:val="32"/>
          <w:szCs w:val="32"/>
        </w:rPr>
        <w:t>应当遵循以下原则：</w:t>
      </w:r>
      <w:r>
        <w:rPr>
          <w:rFonts w:hint="eastAsia" w:ascii="仿宋" w:hAnsi="仿宋" w:eastAsia="仿宋" w:cs="仿宋_GB2312"/>
          <w:b/>
          <w:bCs/>
          <w:sz w:val="32"/>
          <w:szCs w:val="32"/>
        </w:rPr>
        <w:t>一是</w:t>
      </w:r>
      <w:r>
        <w:rPr>
          <w:rFonts w:hint="eastAsia" w:ascii="仿宋" w:hAnsi="仿宋" w:eastAsia="仿宋" w:cs="仿宋_GB2312"/>
          <w:sz w:val="32"/>
          <w:szCs w:val="32"/>
        </w:rPr>
        <w:t>要坚持落实省局食品抽检工作改革原则，省局已覆盖的大型、连锁生产经营单位，市局已确定的主要生产经营单位，县局不再抽检，力避重复抽检。</w:t>
      </w:r>
      <w:r>
        <w:rPr>
          <w:rFonts w:hint="eastAsia" w:ascii="仿宋" w:hAnsi="仿宋" w:eastAsia="仿宋" w:cs="仿宋_GB2312"/>
          <w:b/>
          <w:bCs/>
          <w:sz w:val="32"/>
          <w:szCs w:val="32"/>
        </w:rPr>
        <w:t>二是</w:t>
      </w:r>
      <w:r>
        <w:rPr>
          <w:rFonts w:hint="eastAsia" w:ascii="仿宋" w:hAnsi="仿宋" w:eastAsia="仿宋" w:cs="仿宋_GB2312"/>
          <w:sz w:val="32"/>
          <w:szCs w:val="32"/>
        </w:rPr>
        <w:t>主要以中小型生产经营单位、各类食堂、农贸市场、第三方冷库、</w:t>
      </w:r>
      <w:r>
        <w:rPr>
          <w:rFonts w:hint="eastAsia" w:ascii="仿宋_GB2312" w:hAnsi="仿宋" w:eastAsia="仿宋_GB2312" w:cs="仿宋_GB2312"/>
          <w:kern w:val="0"/>
          <w:sz w:val="32"/>
          <w:szCs w:val="32"/>
        </w:rPr>
        <w:t>“小作坊、小摊贩、小餐饮”</w:t>
      </w:r>
      <w:r>
        <w:rPr>
          <w:rFonts w:hint="eastAsia" w:ascii="仿宋" w:hAnsi="仿宋" w:eastAsia="仿宋" w:cs="仿宋_GB2312"/>
          <w:sz w:val="32"/>
          <w:szCs w:val="32"/>
        </w:rPr>
        <w:t>以及地方特色食品、地理标志产品、食用农产品、餐饮食品为对象开展抽检；特别是对所有学校食堂、二级批发市场、第三方冷库要落实全覆盖抽检，对应当聚焦的重点问题、重点场所和重点领域要加强抽检，在相应的重点时段落实相关品种的抽检工作。</w:t>
      </w:r>
      <w:r>
        <w:rPr>
          <w:rFonts w:hint="eastAsia" w:ascii="仿宋" w:hAnsi="仿宋" w:eastAsia="仿宋" w:cs="仿宋_GB2312"/>
          <w:b/>
          <w:bCs/>
          <w:sz w:val="32"/>
          <w:szCs w:val="32"/>
        </w:rPr>
        <w:t>三是</w:t>
      </w:r>
      <w:r>
        <w:rPr>
          <w:rFonts w:hint="eastAsia" w:ascii="仿宋" w:hAnsi="仿宋" w:eastAsia="仿宋" w:cs="仿宋_GB2312"/>
          <w:sz w:val="32"/>
          <w:szCs w:val="32"/>
        </w:rPr>
        <w:t>对肉制品、食用油、糖果果冻这三类食品的抽检不低于任务总比例的8%；在经营环节抽检省内外食品的比例原则上应与被抽样单位销售省内外食品的比例相当。</w:t>
      </w:r>
      <w:r>
        <w:rPr>
          <w:rFonts w:hint="eastAsia" w:ascii="仿宋" w:hAnsi="仿宋" w:eastAsia="仿宋" w:cs="仿宋_GB2312"/>
          <w:b/>
          <w:bCs/>
          <w:sz w:val="32"/>
          <w:szCs w:val="32"/>
        </w:rPr>
        <w:t>四是</w:t>
      </w:r>
      <w:r>
        <w:rPr>
          <w:rFonts w:hint="eastAsia" w:ascii="仿宋" w:hAnsi="仿宋" w:eastAsia="仿宋" w:cs="仿宋_GB2312"/>
          <w:sz w:val="32"/>
          <w:szCs w:val="32"/>
        </w:rPr>
        <w:t>继续将餐饮具列入2025年专项抽检重点，对抽检不合格的餐饮具，属地监管部门责令相关单位改正后应实施复查抽检，复查抽检不合格的，要依照相关法律法规进行查处。</w:t>
      </w:r>
    </w:p>
    <w:p>
      <w:pPr>
        <w:spacing w:line="560" w:lineRule="exact"/>
        <w:ind w:firstLine="630"/>
        <w:contextualSpacing/>
        <w:rPr>
          <w:rFonts w:ascii="仿宋" w:hAnsi="仿宋" w:eastAsia="仿宋"/>
          <w:b/>
          <w:sz w:val="32"/>
          <w:szCs w:val="32"/>
        </w:rPr>
      </w:pPr>
      <w:r>
        <w:rPr>
          <w:rFonts w:hint="eastAsia" w:ascii="仿宋" w:hAnsi="仿宋" w:eastAsia="仿宋"/>
          <w:b/>
          <w:sz w:val="32"/>
          <w:szCs w:val="32"/>
        </w:rPr>
        <w:t>一、常规抽检监测任务。</w:t>
      </w:r>
    </w:p>
    <w:p>
      <w:pPr>
        <w:pStyle w:val="4"/>
        <w:adjustRightInd w:val="0"/>
        <w:snapToGrid w:val="0"/>
        <w:spacing w:line="560" w:lineRule="exact"/>
        <w:ind w:right="0" w:firstLine="640"/>
        <w:jc w:val="both"/>
        <w:rPr>
          <w:rFonts w:ascii="仿宋" w:hAnsi="仿宋" w:eastAsia="仿宋" w:cs="仿宋_GB2312"/>
          <w:b w:val="0"/>
          <w:bCs w:val="0"/>
          <w:sz w:val="32"/>
          <w:szCs w:val="32"/>
        </w:rPr>
      </w:pPr>
      <w:r>
        <w:rPr>
          <w:rFonts w:hint="eastAsia" w:ascii="仿宋" w:hAnsi="仿宋" w:eastAsia="仿宋" w:cs="仿宋_GB2312"/>
          <w:b w:val="0"/>
          <w:bCs w:val="0"/>
          <w:sz w:val="32"/>
          <w:szCs w:val="32"/>
        </w:rPr>
        <w:t>按照省、市、县三级分工原则</w:t>
      </w:r>
      <w:r>
        <w:rPr>
          <w:rFonts w:hint="eastAsia" w:ascii="仿宋" w:hAnsi="仿宋" w:eastAsia="仿宋" w:cs="仿宋_GB2312"/>
          <w:b w:val="0"/>
          <w:bCs w:val="0"/>
          <w:snapToGrid w:val="0"/>
          <w:kern w:val="0"/>
          <w:sz w:val="32"/>
          <w:szCs w:val="32"/>
        </w:rPr>
        <w:t>，</w:t>
      </w:r>
      <w:r>
        <w:rPr>
          <w:rFonts w:hint="eastAsia" w:ascii="仿宋" w:hAnsi="仿宋" w:eastAsia="仿宋" w:cs="仿宋_GB2312"/>
          <w:b w:val="0"/>
          <w:bCs w:val="0"/>
          <w:sz w:val="32"/>
          <w:szCs w:val="32"/>
        </w:rPr>
        <w:t>开展监督抽检255批次（详见附表1）</w:t>
      </w:r>
      <w:r>
        <w:rPr>
          <w:rFonts w:hint="eastAsia" w:ascii="仿宋" w:hAnsi="仿宋" w:eastAsia="仿宋" w:cs="仿宋_GB2312"/>
          <w:b w:val="0"/>
          <w:bCs w:val="0"/>
          <w:snapToGrid w:val="0"/>
          <w:kern w:val="0"/>
          <w:sz w:val="32"/>
          <w:szCs w:val="32"/>
        </w:rPr>
        <w:t>，</w:t>
      </w:r>
      <w:r>
        <w:rPr>
          <w:rFonts w:hint="eastAsia" w:ascii="仿宋" w:hAnsi="仿宋" w:eastAsia="仿宋" w:cs="仿宋_GB2312"/>
          <w:b w:val="0"/>
          <w:bCs w:val="0"/>
          <w:sz w:val="32"/>
          <w:szCs w:val="32"/>
        </w:rPr>
        <w:t>以餐饮食品、地方特色食品为重点，</w:t>
      </w:r>
      <w:r>
        <w:rPr>
          <w:rFonts w:hint="eastAsia" w:ascii="仿宋" w:hAnsi="仿宋" w:eastAsia="仿宋" w:cs="仿宋_GB2312"/>
          <w:b w:val="0"/>
          <w:bCs w:val="0"/>
          <w:snapToGrid w:val="0"/>
          <w:kern w:val="0"/>
          <w:sz w:val="32"/>
          <w:szCs w:val="32"/>
        </w:rPr>
        <w:t>以精准靶向发现问题为导向，对当地的</w:t>
      </w:r>
      <w:r>
        <w:rPr>
          <w:rFonts w:hint="eastAsia" w:ascii="仿宋" w:hAnsi="仿宋" w:eastAsia="仿宋" w:cs="仿宋_GB2312"/>
          <w:b w:val="0"/>
          <w:bCs w:val="0"/>
          <w:sz w:val="32"/>
          <w:szCs w:val="32"/>
        </w:rPr>
        <w:t>重点问题、重点场所和重点领域要加大抽检力度和频次。抽样规则和</w:t>
      </w:r>
      <w:r>
        <w:rPr>
          <w:rFonts w:hint="eastAsia" w:ascii="仿宋" w:hAnsi="仿宋" w:eastAsia="仿宋" w:cs="仿宋_GB2312"/>
          <w:b w:val="0"/>
          <w:bCs w:val="0"/>
          <w:snapToGrid w:val="0"/>
          <w:kern w:val="0"/>
          <w:sz w:val="32"/>
          <w:szCs w:val="32"/>
        </w:rPr>
        <w:t>检验项目按照《福建省食品安全监督抽检实施细则</w:t>
      </w:r>
      <w:r>
        <w:rPr>
          <w:rFonts w:hint="eastAsia" w:ascii="仿宋" w:hAnsi="仿宋" w:eastAsia="仿宋" w:cs="仿宋_GB2312"/>
          <w:b w:val="0"/>
          <w:bCs w:val="0"/>
          <w:sz w:val="32"/>
          <w:szCs w:val="32"/>
        </w:rPr>
        <w:t>（2025年版）</w:t>
      </w:r>
      <w:r>
        <w:rPr>
          <w:rFonts w:hint="eastAsia" w:ascii="仿宋" w:hAnsi="仿宋" w:eastAsia="仿宋" w:cs="仿宋_GB2312"/>
          <w:b w:val="0"/>
          <w:bCs w:val="0"/>
          <w:snapToGrid w:val="0"/>
          <w:kern w:val="0"/>
          <w:sz w:val="32"/>
          <w:szCs w:val="32"/>
        </w:rPr>
        <w:t>》（详见附件4）执行。同时，要</w:t>
      </w:r>
      <w:r>
        <w:rPr>
          <w:rFonts w:hint="eastAsia" w:ascii="仿宋" w:hAnsi="仿宋" w:eastAsia="仿宋" w:cs="仿宋_GB2312"/>
          <w:b w:val="0"/>
          <w:bCs w:val="0"/>
          <w:sz w:val="32"/>
          <w:szCs w:val="32"/>
        </w:rPr>
        <w:t>充分发挥快检排查食品安全风险隐患的作用，扩大快检覆盖面，将快检与监督抽检、日常巡查、专项整治有机结合，加大快检在批发市场、农贸市场、餐饮外卖、学校食堂等业态场景的运用，解决食用农产品、现场制售等快消食品检测时效长，检测结果报告时间相对滞后和召回难等问题。</w:t>
      </w:r>
    </w:p>
    <w:p>
      <w:pPr>
        <w:pStyle w:val="4"/>
        <w:adjustRightInd w:val="0"/>
        <w:snapToGrid w:val="0"/>
        <w:spacing w:line="560" w:lineRule="exact"/>
        <w:ind w:right="0" w:firstLine="643"/>
        <w:jc w:val="both"/>
        <w:rPr>
          <w:rFonts w:ascii="仿宋" w:hAnsi="仿宋" w:eastAsia="仿宋" w:cs="仿宋_GB2312"/>
          <w:bCs w:val="0"/>
          <w:sz w:val="32"/>
          <w:szCs w:val="32"/>
        </w:rPr>
      </w:pPr>
      <w:r>
        <w:rPr>
          <w:rFonts w:hint="eastAsia" w:ascii="仿宋" w:hAnsi="仿宋" w:eastAsia="仿宋" w:cs="仿宋_GB2312"/>
          <w:bCs w:val="0"/>
          <w:sz w:val="32"/>
          <w:szCs w:val="32"/>
        </w:rPr>
        <w:t>二、专项抽检监测任务</w:t>
      </w:r>
    </w:p>
    <w:p>
      <w:pPr>
        <w:overflowPunct w:val="0"/>
        <w:adjustRightInd w:val="0"/>
        <w:snapToGrid w:val="0"/>
        <w:spacing w:line="560" w:lineRule="exact"/>
        <w:ind w:firstLine="643" w:firstLineChars="200"/>
        <w:rPr>
          <w:rFonts w:ascii="仿宋" w:hAnsi="仿宋" w:eastAsia="仿宋" w:cs="仿宋_GB2312"/>
          <w:snapToGrid w:val="0"/>
          <w:color w:val="000000"/>
          <w:kern w:val="0"/>
          <w:sz w:val="32"/>
          <w:szCs w:val="32"/>
        </w:rPr>
      </w:pPr>
      <w:r>
        <w:rPr>
          <w:rFonts w:hint="eastAsia" w:ascii="仿宋" w:hAnsi="仿宋" w:eastAsia="仿宋" w:cs="仿宋_GB2312"/>
          <w:b/>
          <w:bCs/>
          <w:sz w:val="32"/>
          <w:szCs w:val="32"/>
        </w:rPr>
        <w:t>（一）食用农产品专项抽检任务。</w:t>
      </w:r>
      <w:r>
        <w:rPr>
          <w:rFonts w:hint="eastAsia" w:ascii="仿宋" w:hAnsi="仿宋" w:eastAsia="仿宋" w:cs="仿宋_GB2312"/>
          <w:snapToGrid w:val="0"/>
          <w:kern w:val="0"/>
          <w:sz w:val="32"/>
          <w:szCs w:val="32"/>
        </w:rPr>
        <w:t>负责对本辖区内市场销售的食用农产品实施专项监督抽检374批次（</w:t>
      </w:r>
      <w:r>
        <w:rPr>
          <w:rFonts w:hint="eastAsia" w:ascii="仿宋" w:hAnsi="仿宋" w:eastAsia="仿宋" w:cs="仿宋_GB2312"/>
          <w:sz w:val="32"/>
          <w:szCs w:val="32"/>
        </w:rPr>
        <w:t>详见附表2）</w:t>
      </w:r>
      <w:r>
        <w:rPr>
          <w:rFonts w:hint="eastAsia" w:ascii="仿宋" w:hAnsi="仿宋" w:eastAsia="仿宋" w:cs="仿宋_GB2312"/>
          <w:snapToGrid w:val="0"/>
          <w:kern w:val="0"/>
          <w:sz w:val="32"/>
          <w:szCs w:val="32"/>
        </w:rPr>
        <w:t>，按照指定的</w:t>
      </w:r>
      <w:r>
        <w:rPr>
          <w:rFonts w:hint="eastAsia" w:ascii="仿宋" w:hAnsi="仿宋" w:eastAsia="仿宋" w:cs="仿宋_GB2312"/>
          <w:snapToGrid w:val="0"/>
          <w:color w:val="000000"/>
          <w:kern w:val="0"/>
          <w:sz w:val="32"/>
          <w:szCs w:val="32"/>
        </w:rPr>
        <w:t>品种、必检项目以及不少于两个自选项目</w:t>
      </w:r>
      <w:r>
        <w:rPr>
          <w:rFonts w:hint="eastAsia" w:ascii="仿宋" w:hAnsi="仿宋" w:eastAsia="仿宋" w:cs="仿宋_GB2312"/>
          <w:sz w:val="32"/>
          <w:szCs w:val="32"/>
        </w:rPr>
        <w:t>（详见附件5）</w:t>
      </w:r>
      <w:r>
        <w:rPr>
          <w:rFonts w:hint="eastAsia" w:ascii="仿宋" w:hAnsi="仿宋" w:eastAsia="仿宋" w:cs="仿宋_GB2312"/>
          <w:snapToGrid w:val="0"/>
          <w:color w:val="000000"/>
          <w:kern w:val="0"/>
          <w:sz w:val="32"/>
          <w:szCs w:val="32"/>
        </w:rPr>
        <w:t>开展抽检</w:t>
      </w:r>
      <w:r>
        <w:rPr>
          <w:rFonts w:hint="eastAsia" w:ascii="仿宋" w:hAnsi="仿宋" w:eastAsia="仿宋" w:cs="仿宋_GB2312"/>
          <w:snapToGrid w:val="0"/>
          <w:kern w:val="0"/>
          <w:sz w:val="32"/>
          <w:szCs w:val="32"/>
        </w:rPr>
        <w:t>；</w:t>
      </w:r>
      <w:r>
        <w:rPr>
          <w:rFonts w:hint="eastAsia" w:ascii="仿宋" w:hAnsi="仿宋" w:eastAsia="仿宋" w:cs="仿宋_GB2312"/>
          <w:snapToGrid w:val="0"/>
          <w:color w:val="000000"/>
          <w:kern w:val="0"/>
          <w:sz w:val="32"/>
          <w:szCs w:val="32"/>
        </w:rPr>
        <w:t>各地对辖区主要农贸市场销售的米面油肉蛋奶果蔬等大宗食材，按不同销售主体、不同品种、不同批次，组织开展“周周检”（每个销售主体每周安排一次抽检），加大农兽药残留、</w:t>
      </w:r>
      <w:r>
        <w:rPr>
          <w:rFonts w:hint="eastAsia" w:ascii="仿宋" w:hAnsi="仿宋" w:eastAsia="仿宋" w:cs="仿宋_GB2312"/>
          <w:sz w:val="32"/>
          <w:szCs w:val="32"/>
        </w:rPr>
        <w:t>果蔬保鲜剂滥用等抽检力度</w:t>
      </w:r>
      <w:r>
        <w:rPr>
          <w:rFonts w:hint="eastAsia" w:ascii="仿宋" w:hAnsi="仿宋" w:eastAsia="仿宋" w:cs="仿宋_GB2312"/>
          <w:snapToGrid w:val="0"/>
          <w:color w:val="000000"/>
          <w:kern w:val="0"/>
          <w:sz w:val="32"/>
          <w:szCs w:val="32"/>
        </w:rPr>
        <w:t>，并及时将不合格产品及其追溯信息（如承诺达标合格证等）通报同级农业农村部门</w:t>
      </w:r>
      <w:r>
        <w:rPr>
          <w:rFonts w:hint="eastAsia" w:ascii="仿宋" w:hAnsi="仿宋" w:eastAsia="仿宋" w:cs="仿宋_GB2312"/>
          <w:sz w:val="32"/>
          <w:szCs w:val="32"/>
        </w:rPr>
        <w:t>，切实</w:t>
      </w:r>
      <w:r>
        <w:rPr>
          <w:rFonts w:hint="eastAsia" w:ascii="仿宋" w:hAnsi="仿宋" w:eastAsia="仿宋" w:cs="仿宋_GB2312"/>
          <w:snapToGrid w:val="0"/>
          <w:color w:val="000000"/>
          <w:kern w:val="0"/>
          <w:sz w:val="32"/>
          <w:szCs w:val="32"/>
        </w:rPr>
        <w:t>保障人民群众“米袋子”“菜篮子”“果盘子”食品安全。各地要在</w:t>
      </w:r>
      <w:r>
        <w:rPr>
          <w:rFonts w:hint="eastAsia" w:ascii="仿宋" w:hAnsi="仿宋" w:eastAsia="仿宋" w:cs="仿宋_GB2312"/>
          <w:snapToGrid w:val="0"/>
          <w:kern w:val="0"/>
          <w:sz w:val="32"/>
          <w:szCs w:val="32"/>
        </w:rPr>
        <w:t>“国抽信息系统”</w:t>
      </w:r>
      <w:r>
        <w:rPr>
          <w:rFonts w:hint="eastAsia" w:ascii="仿宋" w:hAnsi="仿宋" w:eastAsia="仿宋" w:cs="仿宋_GB2312"/>
          <w:snapToGrid w:val="0"/>
          <w:color w:val="000000"/>
          <w:kern w:val="0"/>
          <w:sz w:val="32"/>
          <w:szCs w:val="32"/>
        </w:rPr>
        <w:t>建立报送分类B，名称应包含“2025年福建省(市/区/县)食用农产品专项”字段。</w:t>
      </w:r>
    </w:p>
    <w:p>
      <w:pPr>
        <w:pStyle w:val="4"/>
        <w:adjustRightInd w:val="0"/>
        <w:snapToGrid w:val="0"/>
        <w:spacing w:line="560" w:lineRule="exact"/>
        <w:ind w:right="0" w:firstLine="640"/>
        <w:jc w:val="both"/>
        <w:rPr>
          <w:rFonts w:ascii="仿宋" w:hAnsi="仿宋" w:eastAsia="仿宋" w:cs="仿宋_GB2312"/>
          <w:b w:val="0"/>
          <w:bCs w:val="0"/>
          <w:snapToGrid w:val="0"/>
          <w:color w:val="000000"/>
          <w:kern w:val="0"/>
          <w:sz w:val="32"/>
          <w:szCs w:val="32"/>
        </w:rPr>
      </w:pPr>
      <w:r>
        <w:rPr>
          <w:rFonts w:hint="eastAsia" w:ascii="仿宋" w:hAnsi="仿宋" w:eastAsia="仿宋" w:cs="楷体_GB2312"/>
          <w:b w:val="0"/>
          <w:bCs w:val="0"/>
          <w:sz w:val="32"/>
          <w:szCs w:val="32"/>
        </w:rPr>
        <w:t>（二）</w:t>
      </w:r>
      <w:r>
        <w:rPr>
          <w:rFonts w:hint="eastAsia" w:ascii="仿宋" w:hAnsi="仿宋" w:eastAsia="仿宋" w:cs="楷体_GB2312"/>
          <w:sz w:val="32"/>
          <w:szCs w:val="32"/>
        </w:rPr>
        <w:t>校园食品安全专项抽检监测任务。</w:t>
      </w:r>
      <w:r>
        <w:rPr>
          <w:rFonts w:hint="eastAsia" w:ascii="仿宋" w:hAnsi="仿宋" w:eastAsia="仿宋" w:cs="仿宋_GB2312"/>
          <w:b w:val="0"/>
          <w:bCs w:val="0"/>
          <w:snapToGrid w:val="0"/>
          <w:color w:val="000000"/>
          <w:kern w:val="0"/>
          <w:sz w:val="32"/>
          <w:szCs w:val="32"/>
        </w:rPr>
        <w:t>开展校园食品抽检监测和“回头看”抽检监测共360批次，重点是学校食堂采购、使用的大宗食材（米面油肉蛋奶果蔬、调味品）和复用餐饮具</w:t>
      </w:r>
      <w:r>
        <w:rPr>
          <w:rFonts w:hint="eastAsia" w:ascii="仿宋" w:hAnsi="仿宋" w:eastAsia="仿宋" w:cs="仿宋_GB2312"/>
          <w:snapToGrid w:val="0"/>
          <w:kern w:val="0"/>
          <w:sz w:val="32"/>
          <w:szCs w:val="32"/>
        </w:rPr>
        <w:t>（</w:t>
      </w:r>
      <w:r>
        <w:rPr>
          <w:rFonts w:hint="eastAsia" w:ascii="仿宋" w:hAnsi="仿宋" w:eastAsia="仿宋" w:cs="仿宋_GB2312"/>
          <w:sz w:val="32"/>
          <w:szCs w:val="32"/>
        </w:rPr>
        <w:t>详见附表3）</w:t>
      </w:r>
      <w:r>
        <w:rPr>
          <w:rFonts w:hint="eastAsia" w:ascii="仿宋" w:hAnsi="仿宋" w:eastAsia="仿宋" w:cs="仿宋_GB2312"/>
          <w:b w:val="0"/>
          <w:bCs w:val="0"/>
          <w:snapToGrid w:val="0"/>
          <w:color w:val="000000"/>
          <w:kern w:val="0"/>
          <w:sz w:val="32"/>
          <w:szCs w:val="32"/>
        </w:rPr>
        <w:t>；针对集中采购平台和学校，开展“双周检”（每两周开展一次抽检，寒暑假除外）；对学校食堂落实全覆盖抽检，及时将不合格信息通报同级教育部门。各地要在</w:t>
      </w:r>
      <w:r>
        <w:rPr>
          <w:rFonts w:hint="eastAsia" w:ascii="仿宋" w:hAnsi="仿宋" w:eastAsia="仿宋" w:cs="仿宋_GB2312"/>
          <w:b w:val="0"/>
          <w:bCs w:val="0"/>
          <w:snapToGrid w:val="0"/>
          <w:kern w:val="0"/>
          <w:sz w:val="32"/>
          <w:szCs w:val="32"/>
        </w:rPr>
        <w:t>“国抽信息系统”</w:t>
      </w:r>
      <w:r>
        <w:rPr>
          <w:rFonts w:hint="eastAsia" w:ascii="仿宋" w:hAnsi="仿宋" w:eastAsia="仿宋" w:cs="仿宋_GB2312"/>
          <w:b w:val="0"/>
          <w:bCs w:val="0"/>
          <w:snapToGrid w:val="0"/>
          <w:color w:val="000000"/>
          <w:kern w:val="0"/>
          <w:sz w:val="32"/>
          <w:szCs w:val="32"/>
        </w:rPr>
        <w:t>建立报送分类B，名称应包含“2025年福建省(市/区/县)校园专项”字段。</w:t>
      </w:r>
    </w:p>
    <w:p>
      <w:pPr>
        <w:pStyle w:val="4"/>
        <w:adjustRightInd w:val="0"/>
        <w:snapToGrid w:val="0"/>
        <w:spacing w:line="560" w:lineRule="exact"/>
        <w:ind w:right="0" w:firstLine="643"/>
        <w:jc w:val="both"/>
        <w:rPr>
          <w:rFonts w:ascii="仿宋" w:hAnsi="仿宋" w:eastAsia="仿宋" w:cs="仿宋_GB2312"/>
          <w:b w:val="0"/>
          <w:bCs w:val="0"/>
          <w:snapToGrid w:val="0"/>
          <w:color w:val="000000"/>
          <w:kern w:val="0"/>
          <w:sz w:val="32"/>
          <w:szCs w:val="32"/>
        </w:rPr>
      </w:pPr>
      <w:r>
        <w:rPr>
          <w:rFonts w:hint="eastAsia" w:ascii="仿宋" w:hAnsi="仿宋" w:eastAsia="仿宋" w:cs="楷体_GB2312"/>
          <w:sz w:val="32"/>
          <w:szCs w:val="32"/>
        </w:rPr>
        <w:t>（三）其他专项抽检监测任务。</w:t>
      </w:r>
      <w:r>
        <w:rPr>
          <w:rFonts w:hint="eastAsia" w:ascii="仿宋" w:hAnsi="仿宋" w:eastAsia="仿宋" w:cs="仿宋_GB2312"/>
          <w:b w:val="0"/>
          <w:bCs w:val="0"/>
          <w:sz w:val="32"/>
          <w:szCs w:val="32"/>
        </w:rPr>
        <w:t>结合地区、产业和膳食结构、消费特点，开展其他专项抽检365批次，粮食专项抽检 20批次，清明节青团专项10批次，舆情应急专项抽检20批次，“两超一非”专项20批次，两会及年夜饭专项70批次，两节专项50批次，肉制品专项30批次，农村假冒</w:t>
      </w:r>
      <w:r>
        <w:rPr>
          <w:rFonts w:hint="eastAsia" w:ascii="仿宋" w:hAnsi="仿宋" w:eastAsia="仿宋" w:cs="仿宋_GB2312"/>
          <w:b w:val="0"/>
          <w:bCs w:val="0"/>
          <w:sz w:val="32"/>
          <w:szCs w:val="32"/>
          <w:lang w:eastAsia="zh-CN"/>
        </w:rPr>
        <w:t>伪劣</w:t>
      </w:r>
      <w:r>
        <w:rPr>
          <w:rFonts w:hint="eastAsia" w:ascii="仿宋" w:hAnsi="仿宋" w:eastAsia="仿宋" w:cs="仿宋_GB2312"/>
          <w:b w:val="0"/>
          <w:bCs w:val="0"/>
          <w:sz w:val="32"/>
          <w:szCs w:val="32"/>
        </w:rPr>
        <w:t>专项20批次，小作坊专项74批次，跟踪抽检专项51批次，根据工作需要动态开展抽检工作。</w:t>
      </w:r>
      <w:r>
        <w:rPr>
          <w:rFonts w:hint="eastAsia" w:ascii="仿宋" w:hAnsi="仿宋" w:eastAsia="仿宋" w:cs="仿宋_GB2312"/>
          <w:b w:val="0"/>
          <w:bCs w:val="0"/>
          <w:snapToGrid w:val="0"/>
          <w:color w:val="000000"/>
          <w:kern w:val="0"/>
          <w:sz w:val="32"/>
          <w:szCs w:val="32"/>
        </w:rPr>
        <w:t>在</w:t>
      </w:r>
      <w:r>
        <w:rPr>
          <w:rFonts w:hint="eastAsia" w:ascii="仿宋" w:hAnsi="仿宋" w:eastAsia="仿宋" w:cs="仿宋_GB2312"/>
          <w:b w:val="0"/>
          <w:bCs w:val="0"/>
          <w:snapToGrid w:val="0"/>
          <w:kern w:val="0"/>
          <w:sz w:val="32"/>
          <w:szCs w:val="32"/>
        </w:rPr>
        <w:t>“国抽信息系统”</w:t>
      </w:r>
      <w:r>
        <w:rPr>
          <w:rFonts w:hint="eastAsia" w:ascii="仿宋" w:hAnsi="仿宋" w:eastAsia="仿宋" w:cs="仿宋_GB2312"/>
          <w:b w:val="0"/>
          <w:bCs w:val="0"/>
          <w:snapToGrid w:val="0"/>
          <w:color w:val="000000"/>
          <w:kern w:val="0"/>
          <w:sz w:val="32"/>
          <w:szCs w:val="32"/>
        </w:rPr>
        <w:t>建立</w:t>
      </w:r>
      <w:bookmarkStart w:id="0" w:name="_GoBack"/>
      <w:bookmarkEnd w:id="0"/>
      <w:r>
        <w:rPr>
          <w:rFonts w:hint="eastAsia" w:ascii="仿宋" w:hAnsi="仿宋" w:eastAsia="仿宋" w:cs="仿宋_GB2312"/>
          <w:b w:val="0"/>
          <w:bCs w:val="0"/>
          <w:snapToGrid w:val="0"/>
          <w:color w:val="000000"/>
          <w:kern w:val="0"/>
          <w:sz w:val="32"/>
          <w:szCs w:val="32"/>
        </w:rPr>
        <w:t>相应的报送分类B，名称应包含相应专项任务的字段。</w:t>
      </w:r>
    </w:p>
    <w:p>
      <w:pPr>
        <w:overflowPunct w:val="0"/>
        <w:adjustRightInd w:val="0"/>
        <w:snapToGrid w:val="0"/>
        <w:spacing w:line="560" w:lineRule="exact"/>
        <w:ind w:firstLine="643" w:firstLineChars="200"/>
        <w:rPr>
          <w:rFonts w:ascii="仿宋" w:hAnsi="仿宋" w:eastAsia="仿宋" w:cs="仿宋_GB2312"/>
          <w:color w:val="000000"/>
          <w:kern w:val="0"/>
          <w:sz w:val="32"/>
          <w:szCs w:val="32"/>
        </w:rPr>
      </w:pPr>
      <w:r>
        <w:rPr>
          <w:rFonts w:hint="eastAsia" w:ascii="仿宋" w:hAnsi="仿宋" w:eastAsia="仿宋" w:cs="楷体_GB2312"/>
          <w:b/>
          <w:sz w:val="32"/>
          <w:szCs w:val="32"/>
        </w:rPr>
        <w:t>（四）</w:t>
      </w:r>
      <w:r>
        <w:rPr>
          <w:rFonts w:hint="eastAsia" w:ascii="仿宋" w:hAnsi="仿宋" w:eastAsia="仿宋" w:cs="仿宋_GB2312"/>
          <w:b/>
          <w:color w:val="000000"/>
          <w:kern w:val="0"/>
          <w:sz w:val="32"/>
          <w:szCs w:val="32"/>
        </w:rPr>
        <w:t>食品安全快检任务。</w:t>
      </w:r>
      <w:r>
        <w:rPr>
          <w:rFonts w:hint="eastAsia" w:ascii="仿宋" w:hAnsi="仿宋" w:eastAsia="仿宋" w:cs="仿宋_GB2312"/>
          <w:color w:val="000000"/>
          <w:kern w:val="0"/>
          <w:sz w:val="32"/>
          <w:szCs w:val="32"/>
        </w:rPr>
        <w:t>探索创新“快检筛查+衔接抽检”模式，开展食用农产品快速检测1000批次，对发现的阳性问题食品开展衔接抽检，实现“快检广泛覆盖、抽检精准衔接”目的。落实好省局食品安全快检结果验证任务。</w:t>
      </w:r>
    </w:p>
    <w:p>
      <w:pPr>
        <w:ind w:firstLine="800" w:firstLineChars="250"/>
        <w:rPr>
          <w:rFonts w:ascii="仿宋" w:hAnsi="仿宋" w:eastAsia="仿宋"/>
          <w:sz w:val="32"/>
          <w:szCs w:val="32"/>
        </w:rPr>
      </w:pPr>
      <w:r>
        <w:rPr>
          <w:rFonts w:hint="eastAsia" w:ascii="仿宋" w:hAnsi="仿宋" w:eastAsia="仿宋"/>
          <w:sz w:val="32"/>
          <w:szCs w:val="32"/>
        </w:rPr>
        <w:t>附表：1.2025年监督抽检监测任务表（区局本级）</w:t>
      </w:r>
    </w:p>
    <w:p>
      <w:pPr>
        <w:ind w:firstLine="1760" w:firstLineChars="550"/>
        <w:rPr>
          <w:rFonts w:ascii="仿宋" w:hAnsi="仿宋" w:eastAsia="仿宋"/>
          <w:sz w:val="32"/>
          <w:szCs w:val="32"/>
        </w:rPr>
      </w:pPr>
      <w:r>
        <w:rPr>
          <w:rFonts w:hint="eastAsia" w:ascii="仿宋" w:hAnsi="仿宋" w:eastAsia="仿宋"/>
          <w:sz w:val="32"/>
          <w:szCs w:val="32"/>
        </w:rPr>
        <w:t>2.</w:t>
      </w:r>
      <w:r>
        <w:rPr>
          <w:rFonts w:hint="eastAsia"/>
        </w:rPr>
        <w:t xml:space="preserve"> </w:t>
      </w:r>
      <w:r>
        <w:rPr>
          <w:rFonts w:hint="eastAsia" w:ascii="仿宋" w:hAnsi="仿宋" w:eastAsia="仿宋"/>
          <w:sz w:val="32"/>
          <w:szCs w:val="32"/>
        </w:rPr>
        <w:t>2025年区局本级食用农产品专项抽检任务表</w:t>
      </w:r>
    </w:p>
    <w:p>
      <w:pPr>
        <w:ind w:firstLine="1760" w:firstLineChars="550"/>
        <w:rPr>
          <w:rFonts w:ascii="仿宋" w:hAnsi="仿宋" w:eastAsia="仿宋"/>
          <w:sz w:val="32"/>
          <w:szCs w:val="32"/>
        </w:rPr>
      </w:pPr>
      <w:r>
        <w:rPr>
          <w:rFonts w:hint="eastAsia" w:ascii="仿宋" w:hAnsi="仿宋" w:eastAsia="仿宋"/>
          <w:sz w:val="32"/>
          <w:szCs w:val="32"/>
        </w:rPr>
        <w:t>3.2025年校园食品安全专项抽检监测任务</w:t>
      </w:r>
    </w:p>
    <w:p>
      <w:pPr>
        <w:overflowPunct w:val="0"/>
        <w:adjustRightInd w:val="0"/>
        <w:snapToGrid w:val="0"/>
        <w:spacing w:line="560" w:lineRule="exact"/>
        <w:ind w:firstLine="1760" w:firstLineChars="550"/>
        <w:rPr>
          <w:rFonts w:ascii="仿宋" w:hAnsi="仿宋" w:eastAsia="仿宋" w:cs="楷体_GB2312"/>
          <w:bCs/>
          <w:sz w:val="32"/>
          <w:szCs w:val="32"/>
        </w:rPr>
      </w:pPr>
      <w:r>
        <w:rPr>
          <w:rFonts w:hint="eastAsia" w:ascii="仿宋" w:hAnsi="仿宋" w:eastAsia="仿宋" w:cs="楷体_GB2312"/>
          <w:bCs/>
          <w:sz w:val="32"/>
          <w:szCs w:val="32"/>
        </w:rPr>
        <w:t>4.2025年新罗区食用农产品监督抽检各所量化表</w:t>
      </w:r>
    </w:p>
    <w:p>
      <w:pPr>
        <w:pStyle w:val="4"/>
        <w:adjustRightInd w:val="0"/>
        <w:snapToGrid w:val="0"/>
        <w:spacing w:line="560" w:lineRule="exact"/>
        <w:ind w:right="0" w:firstLine="1760" w:firstLineChars="550"/>
        <w:jc w:val="both"/>
        <w:rPr>
          <w:rFonts w:ascii="仿宋" w:hAnsi="仿宋" w:eastAsia="仿宋" w:cs="仿宋_GB2312"/>
          <w:b w:val="0"/>
          <w:bCs w:val="0"/>
          <w:sz w:val="32"/>
          <w:szCs w:val="32"/>
        </w:rPr>
      </w:pPr>
      <w:r>
        <w:rPr>
          <w:rFonts w:hint="eastAsia" w:ascii="仿宋" w:hAnsi="仿宋" w:eastAsia="仿宋" w:cs="仿宋_GB2312"/>
          <w:b w:val="0"/>
          <w:bCs w:val="0"/>
          <w:sz w:val="32"/>
          <w:szCs w:val="32"/>
        </w:rPr>
        <w:t>5.2025年其他专项抽检任务</w:t>
      </w:r>
    </w:p>
    <w:p/>
    <w:sectPr>
      <w:pgSz w:w="11906" w:h="16838"/>
      <w:pgMar w:top="1588" w:right="1588" w:bottom="1588" w:left="1588"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annotation subject"/>
    <w:lsdException w:uiPriority="99" w:name="Balloon Text"/>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uiPriority w:val="1"/>
  </w:style>
  <w:style w:type="paragraph" w:styleId="2">
    <w:name w:val="Body Text Indent"/>
    <w:basedOn w:val="1"/>
    <w:link w:val="10"/>
    <w:semiHidden/>
    <w:unhideWhenUsed/>
    <w:uiPriority w:val="99"/>
    <w:pPr>
      <w:spacing w:after="120"/>
      <w:ind w:left="420" w:leftChars="200"/>
    </w:pPr>
  </w:style>
  <w:style w:type="paragraph" w:styleId="3">
    <w:name w:val="footer"/>
    <w:basedOn w:val="1"/>
    <w:link w:val="9"/>
    <w:semiHidden/>
    <w:unhideWhenUsed/>
    <w:uiPriority w:val="99"/>
    <w:pPr>
      <w:tabs>
        <w:tab w:val="center" w:pos="4153"/>
        <w:tab w:val="right" w:pos="8306"/>
      </w:tabs>
      <w:snapToGrid w:val="0"/>
      <w:jc w:val="left"/>
    </w:pPr>
    <w:rPr>
      <w:sz w:val="18"/>
      <w:szCs w:val="18"/>
    </w:rPr>
  </w:style>
  <w:style w:type="paragraph" w:styleId="4">
    <w:name w:val="Body Text First Indent 2"/>
    <w:basedOn w:val="2"/>
    <w:link w:val="11"/>
    <w:qFormat/>
    <w:uiPriority w:val="0"/>
    <w:pPr>
      <w:spacing w:after="0"/>
      <w:ind w:left="0" w:leftChars="0" w:right="964" w:firstLine="420" w:firstLineChars="200"/>
      <w:jc w:val="center"/>
    </w:pPr>
    <w:rPr>
      <w:rFonts w:ascii="宋体" w:hAnsi="Times New Roman" w:eastAsia="宋体" w:cs="宋体"/>
      <w:b/>
      <w:bCs/>
      <w:sz w:val="36"/>
      <w:szCs w:val="36"/>
    </w:rPr>
  </w:style>
  <w:style w:type="paragraph" w:styleId="5">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character" w:customStyle="1" w:styleId="8">
    <w:name w:val="页眉 Char Char"/>
    <w:basedOn w:val="6"/>
    <w:link w:val="5"/>
    <w:uiPriority w:val="99"/>
    <w:rPr>
      <w:sz w:val="18"/>
      <w:szCs w:val="18"/>
    </w:rPr>
  </w:style>
  <w:style w:type="character" w:customStyle="1" w:styleId="9">
    <w:name w:val="页脚 Char Char"/>
    <w:basedOn w:val="6"/>
    <w:link w:val="3"/>
    <w:uiPriority w:val="99"/>
    <w:rPr>
      <w:sz w:val="18"/>
      <w:szCs w:val="18"/>
    </w:rPr>
  </w:style>
  <w:style w:type="character" w:customStyle="1" w:styleId="10">
    <w:name w:val="正文文本缩进 Char Char"/>
    <w:basedOn w:val="6"/>
    <w:link w:val="2"/>
    <w:uiPriority w:val="99"/>
    <w:rPr/>
  </w:style>
  <w:style w:type="character" w:customStyle="1" w:styleId="11">
    <w:name w:val="正文首行缩进 2 Char Char"/>
    <w:basedOn w:val="10"/>
    <w:link w:val="4"/>
    <w:uiPriority w:val="0"/>
    <w:rPr>
      <w:rFonts w:ascii="宋体" w:hAnsi="Times New Roman" w:eastAsia="宋体" w:cs="宋体"/>
      <w:b/>
      <w:bCs/>
      <w:sz w:val="36"/>
      <w:szCs w:val="36"/>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247</Words>
  <Characters>1414</Characters>
  <Lines>11</Lines>
  <Paragraphs>3</Paragraphs>
  <TotalTime>0</TotalTime>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2025-03-18T10:37:00Z</dcterms:created>
  <dc:creator>林寰</dc:creator>
  <cp:lastModifiedBy>zhang</cp:lastModifiedBy>
  <dcterms:modified xsi:type="dcterms:W3CDTF">2025-09-22T01:02:11Z</dcterms:modified>
  <dc:title>附件1</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y fmtid="{D5CDD505-2E9C-101B-9397-08002B2CF9AE}" pid="3" name="ICV">
    <vt:lpwstr>EA15E15795E24ADDAA6B5F8BEEBC9EC7</vt:lpwstr>
  </property>
</Properties>
</file>