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13D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000000"/>
          <w:sz w:val="40"/>
          <w:szCs w:val="40"/>
          <w:lang w:val="en-US" w:eastAsia="zh-CN"/>
        </w:rPr>
      </w:pPr>
      <w:r>
        <w:rPr>
          <w:rFonts w:hint="eastAsia" w:ascii="方正小标宋简体" w:hAnsi="方正小标宋简体" w:eastAsia="方正小标宋简体" w:cs="方正小标宋简体"/>
          <w:color w:val="000000"/>
          <w:sz w:val="40"/>
          <w:szCs w:val="40"/>
          <w:u w:val="single"/>
          <w:lang w:val="en-US" w:eastAsia="zh-CN"/>
        </w:rPr>
        <w:t>新罗区应急管理局</w:t>
      </w:r>
      <w:r>
        <w:rPr>
          <w:rFonts w:hint="eastAsia" w:ascii="方正小标宋简体" w:hAnsi="方正小标宋简体" w:eastAsia="方正小标宋简体" w:cs="方正小标宋简体"/>
          <w:color w:val="000000"/>
          <w:sz w:val="40"/>
          <w:szCs w:val="40"/>
          <w:lang w:val="en-US" w:eastAsia="zh-CN"/>
        </w:rPr>
        <w:t>权责清单调整表</w:t>
      </w:r>
    </w:p>
    <w:p w14:paraId="36963E0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color w:val="000000"/>
          <w:sz w:val="24"/>
          <w:szCs w:val="24"/>
          <w:lang w:val="en-US" w:eastAsia="zh-CN"/>
        </w:rPr>
      </w:pPr>
      <w:bookmarkStart w:id="0" w:name="_GoBack"/>
      <w:bookmarkEnd w:id="0"/>
      <w:r>
        <w:rPr>
          <w:rFonts w:hint="eastAsia" w:ascii="宋体" w:hAnsi="宋体" w:eastAsia="宋体" w:cs="宋体"/>
          <w:color w:val="000000"/>
          <w:sz w:val="24"/>
          <w:szCs w:val="24"/>
          <w:lang w:val="en-US" w:eastAsia="zh-CN"/>
        </w:rPr>
        <w:t xml:space="preserve">             </w:t>
      </w:r>
    </w:p>
    <w:tbl>
      <w:tblPr>
        <w:tblStyle w:val="6"/>
        <w:tblW w:w="15792" w:type="dxa"/>
        <w:tblInd w:w="-1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480"/>
        <w:gridCol w:w="2040"/>
        <w:gridCol w:w="1980"/>
        <w:gridCol w:w="1365"/>
        <w:gridCol w:w="6720"/>
        <w:gridCol w:w="1710"/>
        <w:gridCol w:w="749"/>
      </w:tblGrid>
      <w:tr w14:paraId="4361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48" w:type="dxa"/>
            <w:noWrap w:val="0"/>
            <w:vAlign w:val="center"/>
          </w:tcPr>
          <w:p w14:paraId="32B2DA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调整</w:t>
            </w:r>
          </w:p>
          <w:p w14:paraId="636D9F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类别</w:t>
            </w:r>
          </w:p>
        </w:tc>
        <w:tc>
          <w:tcPr>
            <w:tcW w:w="480" w:type="dxa"/>
            <w:noWrap w:val="0"/>
            <w:vAlign w:val="center"/>
          </w:tcPr>
          <w:p w14:paraId="3E1D17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序号</w:t>
            </w:r>
          </w:p>
        </w:tc>
        <w:tc>
          <w:tcPr>
            <w:tcW w:w="2040" w:type="dxa"/>
            <w:noWrap w:val="0"/>
            <w:vAlign w:val="center"/>
          </w:tcPr>
          <w:p w14:paraId="430FB3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权责事项</w:t>
            </w:r>
          </w:p>
        </w:tc>
        <w:tc>
          <w:tcPr>
            <w:tcW w:w="1980" w:type="dxa"/>
            <w:noWrap w:val="0"/>
            <w:vAlign w:val="center"/>
          </w:tcPr>
          <w:p w14:paraId="4152FB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子项名称</w:t>
            </w:r>
          </w:p>
        </w:tc>
        <w:tc>
          <w:tcPr>
            <w:tcW w:w="1365" w:type="dxa"/>
            <w:noWrap w:val="0"/>
            <w:vAlign w:val="center"/>
          </w:tcPr>
          <w:p w14:paraId="5A264D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事项类型</w:t>
            </w:r>
          </w:p>
        </w:tc>
        <w:tc>
          <w:tcPr>
            <w:tcW w:w="6720" w:type="dxa"/>
            <w:noWrap w:val="0"/>
            <w:vAlign w:val="center"/>
          </w:tcPr>
          <w:p w14:paraId="03CEE0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设定依据</w:t>
            </w:r>
          </w:p>
        </w:tc>
        <w:tc>
          <w:tcPr>
            <w:tcW w:w="1710" w:type="dxa"/>
            <w:noWrap w:val="0"/>
            <w:vAlign w:val="center"/>
          </w:tcPr>
          <w:p w14:paraId="2A9785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调整依据</w:t>
            </w:r>
          </w:p>
        </w:tc>
        <w:tc>
          <w:tcPr>
            <w:tcW w:w="749" w:type="dxa"/>
            <w:noWrap w:val="0"/>
            <w:vAlign w:val="center"/>
          </w:tcPr>
          <w:p w14:paraId="17300D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备注</w:t>
            </w:r>
          </w:p>
        </w:tc>
      </w:tr>
      <w:tr w14:paraId="5C6F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48" w:type="dxa"/>
            <w:noWrap w:val="0"/>
            <w:vAlign w:val="center"/>
          </w:tcPr>
          <w:p w14:paraId="680A92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lang w:val="en-US" w:eastAsia="zh-CN"/>
              </w:rPr>
              <w:t>调整设定依据</w:t>
            </w:r>
          </w:p>
        </w:tc>
        <w:tc>
          <w:tcPr>
            <w:tcW w:w="480" w:type="dxa"/>
            <w:noWrap w:val="0"/>
            <w:vAlign w:val="center"/>
          </w:tcPr>
          <w:p w14:paraId="051FAB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w:t>
            </w:r>
          </w:p>
        </w:tc>
        <w:tc>
          <w:tcPr>
            <w:tcW w:w="2040" w:type="dxa"/>
            <w:noWrap w:val="0"/>
            <w:vAlign w:val="center"/>
          </w:tcPr>
          <w:p w14:paraId="7D5157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对生产经营单位的主要负责人在本单位发生生产安全事故时，不立即组织抢救或者在事故调查处理期间擅离职守或者逃匿的处罚</w:t>
            </w:r>
          </w:p>
        </w:tc>
        <w:tc>
          <w:tcPr>
            <w:tcW w:w="1980" w:type="dxa"/>
            <w:noWrap w:val="0"/>
            <w:vAlign w:val="center"/>
          </w:tcPr>
          <w:p w14:paraId="37B9AF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37DC1F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4ABBD8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《生产安全事故罚款处罚规定》（中华人民共和国应急管理部令第14号）</w:t>
            </w:r>
          </w:p>
          <w:p w14:paraId="56552E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第十一条第一项  事故发生单位主要负责人有《中华人民共和国安全生产法》第一百一十条、《生产安全事故报告和调查处理条例》第三十五条、第三十六条规定的下列行为之一的，依照下列规定处以罚款：</w:t>
            </w:r>
          </w:p>
          <w:p w14:paraId="5BC9E2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一）事故发生单位主要负责人在事故发生后不立即组织事故抢救，或者在事故调查处理期间擅离职守，或者瞒报、谎报、迟报事故，或者事故发生后逃匿的，处上一年年收入60%至80％的罚款；贻误事故抢救或者造成事故扩大或者影响事故调查或者造成重大社会影响的，处上一年年收入80%至100％的罚款；</w:t>
            </w:r>
          </w:p>
        </w:tc>
        <w:tc>
          <w:tcPr>
            <w:tcW w:w="1710" w:type="dxa"/>
            <w:noWrap w:val="0"/>
            <w:vAlign w:val="center"/>
          </w:tcPr>
          <w:p w14:paraId="32D2AE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《生产安全事故罚款处罚规定》重新修订</w:t>
            </w:r>
          </w:p>
        </w:tc>
        <w:tc>
          <w:tcPr>
            <w:tcW w:w="749" w:type="dxa"/>
            <w:noWrap w:val="0"/>
            <w:vAlign w:val="center"/>
          </w:tcPr>
          <w:p w14:paraId="316AA3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53EA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555D32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lang w:val="en-US" w:eastAsia="zh-CN"/>
              </w:rPr>
              <w:t>调整设定依据</w:t>
            </w:r>
          </w:p>
        </w:tc>
        <w:tc>
          <w:tcPr>
            <w:tcW w:w="480" w:type="dxa"/>
            <w:noWrap w:val="0"/>
            <w:vAlign w:val="center"/>
          </w:tcPr>
          <w:p w14:paraId="531646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2</w:t>
            </w:r>
          </w:p>
        </w:tc>
        <w:tc>
          <w:tcPr>
            <w:tcW w:w="2040" w:type="dxa"/>
            <w:noWrap w:val="0"/>
            <w:vAlign w:val="center"/>
          </w:tcPr>
          <w:p w14:paraId="2B3F70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事故发生单位及其有关人员谎报或者瞒报事故等违法行为的处罚</w:t>
            </w:r>
          </w:p>
        </w:tc>
        <w:tc>
          <w:tcPr>
            <w:tcW w:w="1980" w:type="dxa"/>
            <w:noWrap w:val="0"/>
            <w:vAlign w:val="center"/>
          </w:tcPr>
          <w:p w14:paraId="168C34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298A04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4892C8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《生产安全事故罚款处罚规定》（中华人民共和国应急管理部令第14号）</w:t>
            </w:r>
          </w:p>
          <w:p w14:paraId="2EECD5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第十一条  事故发生单位主要负责人有《中华人民共和国安全生产法》第一百一十条、《生产安全事故报告和调查处理条例》第三十五条、第三十六条规定的下列行为之一的，依照下列规定处以罚款：</w:t>
            </w:r>
          </w:p>
          <w:p w14:paraId="624408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一）事故发生单位主要负责人在事故发生后不立即组织事故抢救，或者在事故调查处理期间擅离职守，或者瞒报、谎报、迟报事故，或者事故发生后逃匿的，处上一年年收入60%至80％的罚款；贻误事故抢救或者造成事故扩大或者影响事故调查或者造成重大社会影响的，处上一年年收入80%至100％的罚款；</w:t>
            </w:r>
          </w:p>
          <w:p w14:paraId="213478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（二）事故发生单位主要负责人漏报事故的，处上一年年收入40%至60％的罚款；贻误事故抢救或者造成事故扩大或者影响事故调查或者造成重大社会影响的，处上一年年收入60%至80％的罚款；</w:t>
            </w:r>
          </w:p>
          <w:p w14:paraId="5312A7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三）事故发生单位主要负责人伪造、故意破坏事故现场，或者转移、隐匿资金、财产、销毁有关证据、资料，或者拒绝接受调查，或者拒绝提供有关情况和资料，或者在事故调查中作伪证，或者指使他人作伪证的，处上一年年收入60%至80％的罚款；贻误事故抢救或者造成事故扩大或者影响事故调查或者造成重大社会影响的，处上一年年收入80%至100％的罚款。</w:t>
            </w:r>
          </w:p>
          <w:p w14:paraId="2570E6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二条  事故发生单位直接负责的主管人员和其他直接责任人员有《生产安全事故报告和调查处理条例》第三十六条规定的行为之一的，处上一年年收入60%至80％的罚款；贻误事故抢救或者造成事故扩大或者影响事故调查或者造成重大社会影响的，处上一年年收入80%至100％的罚款。</w:t>
            </w:r>
          </w:p>
        </w:tc>
        <w:tc>
          <w:tcPr>
            <w:tcW w:w="1710" w:type="dxa"/>
            <w:noWrap w:val="0"/>
            <w:vAlign w:val="center"/>
          </w:tcPr>
          <w:p w14:paraId="44927B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《生产安全事故罚款处罚规定》重新修订</w:t>
            </w:r>
          </w:p>
        </w:tc>
        <w:tc>
          <w:tcPr>
            <w:tcW w:w="749" w:type="dxa"/>
            <w:noWrap w:val="0"/>
            <w:vAlign w:val="center"/>
          </w:tcPr>
          <w:p w14:paraId="10A14A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2FFB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6F12582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调整（新增子项）</w:t>
            </w:r>
          </w:p>
        </w:tc>
        <w:tc>
          <w:tcPr>
            <w:tcW w:w="480" w:type="dxa"/>
            <w:noWrap w:val="0"/>
            <w:vAlign w:val="center"/>
          </w:tcPr>
          <w:p w14:paraId="78F535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3</w:t>
            </w:r>
          </w:p>
        </w:tc>
        <w:tc>
          <w:tcPr>
            <w:tcW w:w="2040" w:type="dxa"/>
            <w:noWrap w:val="0"/>
            <w:vAlign w:val="center"/>
          </w:tcPr>
          <w:p w14:paraId="0A8668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对生产经营单位未按照规定提取和使用安全生产费用的等违法行为的处罚</w:t>
            </w:r>
          </w:p>
        </w:tc>
        <w:tc>
          <w:tcPr>
            <w:tcW w:w="1980" w:type="dxa"/>
            <w:noWrap w:val="0"/>
            <w:vAlign w:val="center"/>
          </w:tcPr>
          <w:p w14:paraId="3BC090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对将业务委托给不具备相应生产经营资质的单位或者个人的处罚</w:t>
            </w:r>
          </w:p>
        </w:tc>
        <w:tc>
          <w:tcPr>
            <w:tcW w:w="1365" w:type="dxa"/>
            <w:noWrap w:val="0"/>
            <w:vAlign w:val="center"/>
          </w:tcPr>
          <w:p w14:paraId="2465A0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2351F2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《福建省安全生产条例》（2016年12月2日福建省第十二届人民代表大会常务委员会第二十六次会议通过，2024年5月29日福建省第十四届人民代表大会常务委员会第十次会议修订）</w:t>
            </w:r>
          </w:p>
          <w:p w14:paraId="00BFB6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第六十七条 生产经营单位违反本条例第十一条第十项、第十四条、第二十一条、第二十三条、第二十六条规定，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7AB6CF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（一）将业务委托给不具备相应生产经营资质的单位或者个人；</w:t>
            </w:r>
          </w:p>
          <w:p w14:paraId="7186DA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（二）未按照规定提取和使用安全生产费用的；</w:t>
            </w:r>
          </w:p>
          <w:p w14:paraId="791036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（三）未制定生产安全事故隐患排查整改方案的；</w:t>
            </w:r>
          </w:p>
          <w:p w14:paraId="128DEB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（四）未落实治理事故隐患的措施、责任、资金、时限、应急预案的；</w:t>
            </w:r>
          </w:p>
          <w:p w14:paraId="2DCBDE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（五）未按照规定采取安全防范措施的。</w:t>
            </w:r>
          </w:p>
        </w:tc>
        <w:tc>
          <w:tcPr>
            <w:tcW w:w="1710" w:type="dxa"/>
            <w:noWrap w:val="0"/>
            <w:vAlign w:val="center"/>
          </w:tcPr>
          <w:p w14:paraId="458913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《福建省安全生产条例》重新修订</w:t>
            </w:r>
          </w:p>
        </w:tc>
        <w:tc>
          <w:tcPr>
            <w:tcW w:w="749" w:type="dxa"/>
            <w:noWrap w:val="0"/>
            <w:vAlign w:val="center"/>
          </w:tcPr>
          <w:p w14:paraId="735975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0EA9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43A5AD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调整名称</w:t>
            </w:r>
          </w:p>
        </w:tc>
        <w:tc>
          <w:tcPr>
            <w:tcW w:w="480" w:type="dxa"/>
            <w:noWrap w:val="0"/>
            <w:vAlign w:val="center"/>
          </w:tcPr>
          <w:p w14:paraId="20D824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4</w:t>
            </w:r>
          </w:p>
        </w:tc>
        <w:tc>
          <w:tcPr>
            <w:tcW w:w="2040" w:type="dxa"/>
            <w:noWrap w:val="0"/>
            <w:vAlign w:val="center"/>
          </w:tcPr>
          <w:p w14:paraId="0D77ED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对建设、勘察、设计、施工、工程监理、质量检测等单位提出不符合建设工程安全生产法律、法规和强制性标准规定的要求，任意压缩合理施工工期、降低工程质量和安全标准的处罚</w:t>
            </w:r>
          </w:p>
        </w:tc>
        <w:tc>
          <w:tcPr>
            <w:tcW w:w="1980" w:type="dxa"/>
            <w:noWrap w:val="0"/>
            <w:vAlign w:val="center"/>
          </w:tcPr>
          <w:p w14:paraId="6BDC15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784E15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2DA5D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《福建省安全生产条例》（2016年12月2日福建省第十二届人民代表大会常务委员会第二十六次会议通过，2024年5月29日福建省第十四届人民代表大会常务委员会第十次会议修订）</w:t>
            </w:r>
          </w:p>
          <w:p w14:paraId="7A3F43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第二十七条第二款  任何单位和个人不得对建设、勘察、设计、施工、工程监理、质量检测等单位提出不符合建设工程安全生产法律、法规和强制性标准规定的要求，不得任意压缩合理施工工期，不得降低工程质量、安全标准。</w:t>
            </w:r>
          </w:p>
          <w:p w14:paraId="47BD18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第六十八条  违反本条例第二十七条第二款规定，对建设、勘察、设计、施工、工程监理、质量检测等单位提出不符合建设工程安全生产法律、法规和强制性标准规定的要求，任意压缩合理施工工期、降低工程质量和安全标准的，予以警告，责令限期改正，并处二十万元以上五十万元以下的罚款；造成生产安全事故，构成犯罪的，依法追究刑事责任。</w:t>
            </w:r>
          </w:p>
        </w:tc>
        <w:tc>
          <w:tcPr>
            <w:tcW w:w="1710" w:type="dxa"/>
            <w:noWrap w:val="0"/>
            <w:vAlign w:val="center"/>
          </w:tcPr>
          <w:p w14:paraId="6E8F96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《福建省安全生产条例》重新修订</w:t>
            </w:r>
          </w:p>
        </w:tc>
        <w:tc>
          <w:tcPr>
            <w:tcW w:w="749" w:type="dxa"/>
            <w:noWrap w:val="0"/>
            <w:vAlign w:val="center"/>
          </w:tcPr>
          <w:p w14:paraId="6A939D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4F3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21F01B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调整子项名称</w:t>
            </w:r>
          </w:p>
        </w:tc>
        <w:tc>
          <w:tcPr>
            <w:tcW w:w="480" w:type="dxa"/>
            <w:noWrap w:val="0"/>
            <w:vAlign w:val="center"/>
          </w:tcPr>
          <w:p w14:paraId="23165B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5</w:t>
            </w:r>
          </w:p>
        </w:tc>
        <w:tc>
          <w:tcPr>
            <w:tcW w:w="2040" w:type="dxa"/>
            <w:noWrap w:val="0"/>
            <w:vAlign w:val="center"/>
          </w:tcPr>
          <w:p w14:paraId="7E544B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对工贸企业未在有限空间作业场所设置明显的安全警示标志等违法行为的处罚</w:t>
            </w:r>
          </w:p>
        </w:tc>
        <w:tc>
          <w:tcPr>
            <w:tcW w:w="1980" w:type="dxa"/>
            <w:noWrap w:val="0"/>
            <w:vAlign w:val="center"/>
          </w:tcPr>
          <w:p w14:paraId="7B38C6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对未按照规定配备、使用符合国家标准或者行业标准的有限空间作业安全仪器、设备、装备和器材的，或者未对其进行经常性维护、保养和定期检测的处罚</w:t>
            </w:r>
          </w:p>
        </w:tc>
        <w:tc>
          <w:tcPr>
            <w:tcW w:w="1365" w:type="dxa"/>
            <w:noWrap w:val="0"/>
            <w:vAlign w:val="center"/>
          </w:tcPr>
          <w:p w14:paraId="77993B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6AFCA5E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《工贸企业有限空间作业安全规定》（2023年应急管理部令第13号）</w:t>
            </w:r>
          </w:p>
          <w:p w14:paraId="5F3B0E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第十九条 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14:paraId="2C3F2D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（一）未按照规定设置明显的有限空间安全警示标志的；</w:t>
            </w:r>
          </w:p>
          <w:p w14:paraId="6441A1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（二）未按照规定配备、使用符合国家标准或者行业标准的有限空间作业安全仪器、设备、装备和器材的，或者未对其进行经常性维护、保养和定期检测的。</w:t>
            </w:r>
          </w:p>
        </w:tc>
        <w:tc>
          <w:tcPr>
            <w:tcW w:w="1710" w:type="dxa"/>
            <w:noWrap w:val="0"/>
            <w:vAlign w:val="center"/>
          </w:tcPr>
          <w:p w14:paraId="3C1D2E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《工贸企业有限空间作业安全规定》重新修订</w:t>
            </w:r>
          </w:p>
        </w:tc>
        <w:tc>
          <w:tcPr>
            <w:tcW w:w="749" w:type="dxa"/>
            <w:noWrap w:val="0"/>
            <w:vAlign w:val="center"/>
          </w:tcPr>
          <w:p w14:paraId="372884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0236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3261AC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调整名称</w:t>
            </w:r>
          </w:p>
        </w:tc>
        <w:tc>
          <w:tcPr>
            <w:tcW w:w="480" w:type="dxa"/>
            <w:noWrap w:val="0"/>
            <w:vAlign w:val="center"/>
          </w:tcPr>
          <w:p w14:paraId="562B60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6</w:t>
            </w:r>
          </w:p>
        </w:tc>
        <w:tc>
          <w:tcPr>
            <w:tcW w:w="2040" w:type="dxa"/>
            <w:noWrap w:val="0"/>
            <w:vAlign w:val="center"/>
          </w:tcPr>
          <w:p w14:paraId="202076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对工贸企业未按照规定开展有限空间作业专题安全培训或者未如实记录安全培训情况等的处罚</w:t>
            </w:r>
          </w:p>
        </w:tc>
        <w:tc>
          <w:tcPr>
            <w:tcW w:w="1980" w:type="dxa"/>
            <w:noWrap w:val="0"/>
            <w:vAlign w:val="center"/>
          </w:tcPr>
          <w:p w14:paraId="35129167">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对未按照规定开展有限空间作业专题安全培训或者未如实记录安全培训情况的处罚</w:t>
            </w:r>
          </w:p>
          <w:p w14:paraId="526719C3">
            <w:pPr>
              <w:pStyle w:val="2"/>
              <w:numPr>
                <w:ilvl w:val="0"/>
                <w:numId w:val="0"/>
              </w:numPr>
              <w:ind w:left="0" w:leftChars="0" w:firstLine="0" w:firstLineChars="0"/>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lang w:val="en-US" w:eastAsia="zh-CN"/>
              </w:rPr>
              <w:t>2.未按照规定制定有限空间作业现场处置方案或者未按照规定组织演练的处罚</w:t>
            </w:r>
          </w:p>
        </w:tc>
        <w:tc>
          <w:tcPr>
            <w:tcW w:w="1365" w:type="dxa"/>
            <w:noWrap w:val="0"/>
            <w:vAlign w:val="center"/>
          </w:tcPr>
          <w:p w14:paraId="2B3433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38F2E32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《工贸企业有限空间作业安全规定》（2023年应急管理部令第13号）</w:t>
            </w:r>
          </w:p>
          <w:p w14:paraId="3D012E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第二十条 工贸企业有下列行为之一的，责令限期改正，处10万元以下的罚款；逾期未改正的，责令停产停业整顿，并处10万元以上20万元以下的罚款，对其直接负责的主管人员和其他直接责任人员处2万元以上5万元以下的罚款：</w:t>
            </w:r>
          </w:p>
          <w:p w14:paraId="76D784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（一）未按照规定开展有限空间作业专题安全培训或者未如实记录安全培训情况的；</w:t>
            </w:r>
          </w:p>
          <w:p w14:paraId="4DD767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（二）未按照规定制定有限空间作业现场处置方案或者未按照规定组织演练的。</w:t>
            </w:r>
          </w:p>
        </w:tc>
        <w:tc>
          <w:tcPr>
            <w:tcW w:w="1710" w:type="dxa"/>
            <w:noWrap w:val="0"/>
            <w:vAlign w:val="center"/>
          </w:tcPr>
          <w:p w14:paraId="2523F2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《工贸企业有限空间作业安全规定》重新修订</w:t>
            </w:r>
          </w:p>
        </w:tc>
        <w:tc>
          <w:tcPr>
            <w:tcW w:w="749" w:type="dxa"/>
            <w:noWrap w:val="0"/>
            <w:vAlign w:val="center"/>
          </w:tcPr>
          <w:p w14:paraId="14162C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74A5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5" w:hRule="atLeast"/>
        </w:trPr>
        <w:tc>
          <w:tcPr>
            <w:tcW w:w="748" w:type="dxa"/>
            <w:noWrap w:val="0"/>
            <w:vAlign w:val="center"/>
          </w:tcPr>
          <w:p w14:paraId="4DAC0A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调整名称、新增子项4</w:t>
            </w:r>
          </w:p>
        </w:tc>
        <w:tc>
          <w:tcPr>
            <w:tcW w:w="480" w:type="dxa"/>
            <w:noWrap w:val="0"/>
            <w:vAlign w:val="center"/>
          </w:tcPr>
          <w:p w14:paraId="2C65BE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7</w:t>
            </w:r>
          </w:p>
        </w:tc>
        <w:tc>
          <w:tcPr>
            <w:tcW w:w="2040" w:type="dxa"/>
            <w:noWrap w:val="0"/>
            <w:vAlign w:val="center"/>
          </w:tcPr>
          <w:p w14:paraId="7B14E3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对工贸企业未按规定未配备监护人员、对有限空间进行辨识、落实有限空间作业审批等的处罚</w:t>
            </w:r>
          </w:p>
        </w:tc>
        <w:tc>
          <w:tcPr>
            <w:tcW w:w="1980" w:type="dxa"/>
            <w:noWrap w:val="0"/>
            <w:vAlign w:val="center"/>
          </w:tcPr>
          <w:p w14:paraId="621498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对未配备监护人员，或者监护人员未按规定履行岗位职责的处罚；2.对未对有限空间进行辨识，或者未建立有限空间管理台账的处罚；3.对未落实有限空间作业审批，或者作业未执行“先通风、再检测、后作业”要求的处罚；4.对未按要求进行通风和气体检测的处罚</w:t>
            </w:r>
          </w:p>
        </w:tc>
        <w:tc>
          <w:tcPr>
            <w:tcW w:w="1365" w:type="dxa"/>
            <w:noWrap w:val="0"/>
            <w:vAlign w:val="center"/>
          </w:tcPr>
          <w:p w14:paraId="3BB097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183867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《工贸企业有限空间作业安全规定》（2023年应急管理部令第13号）</w:t>
            </w:r>
          </w:p>
          <w:p w14:paraId="77246C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第二十一条 违反本规定，有下列情形之一的，责令限期改正，对工贸企业处5万元以下的罚款，对其直接负责的主管人员和其他直接责任人员处1万元以下的罚款：</w:t>
            </w:r>
          </w:p>
          <w:p w14:paraId="1ED7AF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（一）未配备监护人员，或者监护人员未按规定履行岗位职责的；</w:t>
            </w:r>
          </w:p>
          <w:p w14:paraId="5F7248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（二）未对有限空间进行辨识，或者未建立有限空间管理台账的；</w:t>
            </w:r>
          </w:p>
          <w:p w14:paraId="312BE6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（三）未落实有限空间作业审批，或者作业未执行“先通风、再检测、后作业”要求的；</w:t>
            </w:r>
          </w:p>
          <w:p w14:paraId="2162A0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（四）未按要求进行通风和气体检测的。</w:t>
            </w:r>
          </w:p>
        </w:tc>
        <w:tc>
          <w:tcPr>
            <w:tcW w:w="1710" w:type="dxa"/>
            <w:noWrap w:val="0"/>
            <w:vAlign w:val="center"/>
          </w:tcPr>
          <w:p w14:paraId="39BEBD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《工贸企业有限空间作业安全规定》重新修订</w:t>
            </w:r>
          </w:p>
        </w:tc>
        <w:tc>
          <w:tcPr>
            <w:tcW w:w="749" w:type="dxa"/>
            <w:noWrap w:val="0"/>
            <w:vAlign w:val="center"/>
          </w:tcPr>
          <w:p w14:paraId="5D0FD8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58A7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2786FF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lang w:val="en-US" w:eastAsia="zh-CN"/>
              </w:rPr>
            </w:pPr>
            <w:r>
              <w:rPr>
                <w:rFonts w:hint="eastAsia" w:ascii="楷体_GB2312" w:hAnsi="楷体_GB2312" w:eastAsia="楷体_GB2312" w:cs="楷体_GB2312"/>
                <w:color w:val="000000"/>
                <w:sz w:val="21"/>
                <w:szCs w:val="21"/>
                <w:vertAlign w:val="baseline"/>
                <w:lang w:val="en-US" w:eastAsia="zh-CN"/>
              </w:rPr>
              <w:t>调整名称</w:t>
            </w:r>
          </w:p>
        </w:tc>
        <w:tc>
          <w:tcPr>
            <w:tcW w:w="480" w:type="dxa"/>
            <w:noWrap w:val="0"/>
            <w:vAlign w:val="center"/>
          </w:tcPr>
          <w:p w14:paraId="169E93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8</w:t>
            </w:r>
          </w:p>
        </w:tc>
        <w:tc>
          <w:tcPr>
            <w:tcW w:w="2040" w:type="dxa"/>
            <w:noWrap w:val="0"/>
            <w:vAlign w:val="center"/>
          </w:tcPr>
          <w:p w14:paraId="493224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组织实施安全生产巡查督查工作</w:t>
            </w:r>
          </w:p>
        </w:tc>
        <w:tc>
          <w:tcPr>
            <w:tcW w:w="1980" w:type="dxa"/>
            <w:noWrap w:val="0"/>
            <w:vAlign w:val="center"/>
          </w:tcPr>
          <w:p w14:paraId="0E803E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2A7ADA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其他权责事项</w:t>
            </w:r>
          </w:p>
        </w:tc>
        <w:tc>
          <w:tcPr>
            <w:tcW w:w="6720" w:type="dxa"/>
            <w:noWrap w:val="0"/>
            <w:vAlign w:val="center"/>
          </w:tcPr>
          <w:p w14:paraId="1AD47F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《中共新罗区委办公室新罗区人民政府办公室关于印发龙岩市新罗区应急管理局主要职责内设机构和人员编制规定的通知》（龙新委办〔2O19〕31号）</w:t>
            </w:r>
          </w:p>
          <w:p w14:paraId="586A44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第四条  区应急局设以下内设机构：</w:t>
            </w:r>
          </w:p>
          <w:p w14:paraId="6855B3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（七）安全生产协调股</w:t>
            </w:r>
          </w:p>
          <w:p w14:paraId="18704F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依法依规指导协调和监督有专门安全生产主管部门的行业和领域安全生产监督管理工作，参与相关行业领域一般事故的调查处理和应急救援工作。具体承担区政府安全生产委员会的日常工作，组织拟订、分解下达安全生产工作目标责任，组织实施安全生产巡查、考核工作，组织协调全区性安全生产检查以及专项督查、专项整治等工作……</w:t>
            </w:r>
          </w:p>
        </w:tc>
        <w:tc>
          <w:tcPr>
            <w:tcW w:w="1710" w:type="dxa"/>
            <w:noWrap w:val="0"/>
            <w:vAlign w:val="center"/>
          </w:tcPr>
          <w:p w14:paraId="4F5B9C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省级根据清理责任状的要求，从2025年起不再下发安全生产目标责任，区级参照执行。按照精简优化基层考核的要求，从2025年起区政府不再开展安全生产专项考核。</w:t>
            </w:r>
          </w:p>
        </w:tc>
        <w:tc>
          <w:tcPr>
            <w:tcW w:w="749" w:type="dxa"/>
            <w:noWrap w:val="0"/>
            <w:vAlign w:val="center"/>
          </w:tcPr>
          <w:p w14:paraId="5DF4E3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035A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8" w:type="dxa"/>
            <w:noWrap w:val="0"/>
            <w:vAlign w:val="center"/>
          </w:tcPr>
          <w:p w14:paraId="19E90E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调整类别</w:t>
            </w:r>
          </w:p>
        </w:tc>
        <w:tc>
          <w:tcPr>
            <w:tcW w:w="480" w:type="dxa"/>
            <w:noWrap w:val="0"/>
            <w:vAlign w:val="center"/>
          </w:tcPr>
          <w:p w14:paraId="069557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9</w:t>
            </w:r>
          </w:p>
        </w:tc>
        <w:tc>
          <w:tcPr>
            <w:tcW w:w="2040" w:type="dxa"/>
            <w:noWrap w:val="0"/>
            <w:vAlign w:val="center"/>
          </w:tcPr>
          <w:p w14:paraId="7F4809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救灾款物的分配、使用</w:t>
            </w:r>
          </w:p>
        </w:tc>
        <w:tc>
          <w:tcPr>
            <w:tcW w:w="1980" w:type="dxa"/>
            <w:noWrap w:val="0"/>
            <w:vAlign w:val="center"/>
          </w:tcPr>
          <w:p w14:paraId="6A9CD2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2B3290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行政给付</w:t>
            </w:r>
          </w:p>
        </w:tc>
        <w:tc>
          <w:tcPr>
            <w:tcW w:w="6720" w:type="dxa"/>
            <w:noWrap w:val="0"/>
            <w:vAlign w:val="center"/>
          </w:tcPr>
          <w:p w14:paraId="081254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《自然灾害救助条例》（国务院令第577号发布,2019年修正）</w:t>
            </w:r>
          </w:p>
          <w:p w14:paraId="1130AF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第二十二条  县级以上人民政府财政部门、应急管理部门负责自然灾害救助资金的分配、管理并监督使用情况。</w:t>
            </w:r>
          </w:p>
          <w:p w14:paraId="3BEA82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县级以上人民政府应急管理部门负责调拨、分配、管理自然灾害救助物资。</w:t>
            </w:r>
          </w:p>
        </w:tc>
        <w:tc>
          <w:tcPr>
            <w:tcW w:w="1710" w:type="dxa"/>
            <w:noWrap w:val="0"/>
            <w:vAlign w:val="center"/>
          </w:tcPr>
          <w:p w14:paraId="401056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根据应急系统五级十五同由公共服务事项调整为行政给付</w:t>
            </w:r>
          </w:p>
        </w:tc>
        <w:tc>
          <w:tcPr>
            <w:tcW w:w="749" w:type="dxa"/>
            <w:noWrap w:val="0"/>
            <w:vAlign w:val="center"/>
          </w:tcPr>
          <w:p w14:paraId="284E57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3304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48" w:type="dxa"/>
            <w:noWrap w:val="0"/>
            <w:vAlign w:val="center"/>
          </w:tcPr>
          <w:p w14:paraId="154610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删除</w:t>
            </w:r>
          </w:p>
        </w:tc>
        <w:tc>
          <w:tcPr>
            <w:tcW w:w="480" w:type="dxa"/>
            <w:noWrap w:val="0"/>
            <w:vAlign w:val="center"/>
          </w:tcPr>
          <w:p w14:paraId="27FFD4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10</w:t>
            </w:r>
          </w:p>
        </w:tc>
        <w:tc>
          <w:tcPr>
            <w:tcW w:w="2040" w:type="dxa"/>
            <w:noWrap w:val="0"/>
            <w:vAlign w:val="center"/>
          </w:tcPr>
          <w:p w14:paraId="68D78F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对生产经营单位安全生产规章制度和安全生产操作规程不符合规定等违法行为的处罚</w:t>
            </w:r>
          </w:p>
        </w:tc>
        <w:tc>
          <w:tcPr>
            <w:tcW w:w="1980" w:type="dxa"/>
            <w:noWrap w:val="0"/>
            <w:vAlign w:val="center"/>
          </w:tcPr>
          <w:p w14:paraId="26105C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15BFC5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57FA29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710" w:type="dxa"/>
            <w:noWrap w:val="0"/>
            <w:vAlign w:val="center"/>
          </w:tcPr>
          <w:p w14:paraId="377D86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《福建省安全生产条例》重新修订</w:t>
            </w:r>
          </w:p>
        </w:tc>
        <w:tc>
          <w:tcPr>
            <w:tcW w:w="749" w:type="dxa"/>
            <w:noWrap w:val="0"/>
            <w:vAlign w:val="center"/>
          </w:tcPr>
          <w:p w14:paraId="4FB4D6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34C1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48" w:type="dxa"/>
            <w:noWrap w:val="0"/>
            <w:vAlign w:val="center"/>
          </w:tcPr>
          <w:p w14:paraId="7FF28C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删除</w:t>
            </w:r>
          </w:p>
        </w:tc>
        <w:tc>
          <w:tcPr>
            <w:tcW w:w="480" w:type="dxa"/>
            <w:noWrap w:val="0"/>
            <w:vAlign w:val="center"/>
          </w:tcPr>
          <w:p w14:paraId="22DED7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11</w:t>
            </w:r>
          </w:p>
        </w:tc>
        <w:tc>
          <w:tcPr>
            <w:tcW w:w="2040" w:type="dxa"/>
            <w:noWrap w:val="0"/>
            <w:vAlign w:val="center"/>
          </w:tcPr>
          <w:p w14:paraId="121E38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对从业人员未经安全生产教育和培训上岗作业等违法行为的处罚</w:t>
            </w:r>
          </w:p>
        </w:tc>
        <w:tc>
          <w:tcPr>
            <w:tcW w:w="1980" w:type="dxa"/>
            <w:noWrap w:val="0"/>
            <w:vAlign w:val="center"/>
          </w:tcPr>
          <w:p w14:paraId="7A0293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6194F0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4363DD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710" w:type="dxa"/>
            <w:noWrap w:val="0"/>
            <w:vAlign w:val="center"/>
          </w:tcPr>
          <w:p w14:paraId="414CFC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《福建省安全生产条例》重新修订</w:t>
            </w:r>
          </w:p>
        </w:tc>
        <w:tc>
          <w:tcPr>
            <w:tcW w:w="749" w:type="dxa"/>
            <w:noWrap w:val="0"/>
            <w:vAlign w:val="center"/>
          </w:tcPr>
          <w:p w14:paraId="764AF8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1896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48" w:type="dxa"/>
            <w:noWrap w:val="0"/>
            <w:vAlign w:val="center"/>
          </w:tcPr>
          <w:p w14:paraId="4A3C77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删除</w:t>
            </w:r>
          </w:p>
        </w:tc>
        <w:tc>
          <w:tcPr>
            <w:tcW w:w="480" w:type="dxa"/>
            <w:noWrap w:val="0"/>
            <w:vAlign w:val="center"/>
          </w:tcPr>
          <w:p w14:paraId="71F018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12</w:t>
            </w:r>
          </w:p>
        </w:tc>
        <w:tc>
          <w:tcPr>
            <w:tcW w:w="2040" w:type="dxa"/>
            <w:noWrap w:val="0"/>
            <w:vAlign w:val="center"/>
          </w:tcPr>
          <w:p w14:paraId="1A805B1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第二、三类易制毒化学品生产、经营备案</w:t>
            </w:r>
          </w:p>
        </w:tc>
        <w:tc>
          <w:tcPr>
            <w:tcW w:w="1980" w:type="dxa"/>
            <w:noWrap w:val="0"/>
            <w:vAlign w:val="center"/>
          </w:tcPr>
          <w:p w14:paraId="025D7E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35BFBB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其他行政权力</w:t>
            </w:r>
          </w:p>
        </w:tc>
        <w:tc>
          <w:tcPr>
            <w:tcW w:w="6720" w:type="dxa"/>
            <w:noWrap w:val="0"/>
            <w:vAlign w:val="center"/>
          </w:tcPr>
          <w:p w14:paraId="57CF83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710" w:type="dxa"/>
            <w:noWrap w:val="0"/>
            <w:vAlign w:val="center"/>
          </w:tcPr>
          <w:p w14:paraId="490F7C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市局不再下放</w:t>
            </w:r>
          </w:p>
        </w:tc>
        <w:tc>
          <w:tcPr>
            <w:tcW w:w="749" w:type="dxa"/>
            <w:noWrap w:val="0"/>
            <w:vAlign w:val="center"/>
          </w:tcPr>
          <w:p w14:paraId="330F39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567E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48" w:type="dxa"/>
            <w:noWrap w:val="0"/>
            <w:vAlign w:val="center"/>
          </w:tcPr>
          <w:p w14:paraId="00E69D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731106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13</w:t>
            </w:r>
          </w:p>
        </w:tc>
        <w:tc>
          <w:tcPr>
            <w:tcW w:w="2040" w:type="dxa"/>
            <w:noWrap w:val="0"/>
            <w:vAlign w:val="center"/>
          </w:tcPr>
          <w:p w14:paraId="3ECE4E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对未定期检验特种劳动防护用品的处罚</w:t>
            </w:r>
          </w:p>
        </w:tc>
        <w:tc>
          <w:tcPr>
            <w:tcW w:w="1980" w:type="dxa"/>
            <w:noWrap w:val="0"/>
            <w:vAlign w:val="center"/>
          </w:tcPr>
          <w:p w14:paraId="6B45D8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6064BD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165305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《福建省安全生产条例》（2016年12月2日福建省第十二届人民代表大会常务委员会第二十六次会议通过，2024年5月29日福建省第十四届人民代表大会常务委员会第十次会议修订）</w:t>
            </w:r>
          </w:p>
          <w:p w14:paraId="7B64BCE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第四十二条  生产经营单位应当为从业人员无偿提供符合国家标准或者行业标准的劳动防护用品，并教育督促从业人员正确佩戴和使用。禁止以货币或者其他物品替代劳动防护用品。</w:t>
            </w:r>
          </w:p>
          <w:p w14:paraId="5AC331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特种劳动防护用品应当定期进行检验，超过保质期或者防护性能失效的不得使用。</w:t>
            </w:r>
          </w:p>
          <w:p w14:paraId="18AC5C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第六十九条  生产经营单位违反本条例第四十二条规定，未定期检验特种劳动防护用品的，责令限期改正，处二万元以下的罚款；逾期未改正的，处二万元以上五万元以下的罚款。</w:t>
            </w:r>
          </w:p>
        </w:tc>
        <w:tc>
          <w:tcPr>
            <w:tcW w:w="1710" w:type="dxa"/>
            <w:noWrap w:val="0"/>
            <w:vAlign w:val="center"/>
          </w:tcPr>
          <w:p w14:paraId="70AB7A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《福建省安全生产条例》重新修订</w:t>
            </w:r>
          </w:p>
        </w:tc>
        <w:tc>
          <w:tcPr>
            <w:tcW w:w="749" w:type="dxa"/>
            <w:noWrap w:val="0"/>
            <w:vAlign w:val="center"/>
          </w:tcPr>
          <w:p w14:paraId="16A231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1290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48" w:type="dxa"/>
            <w:noWrap w:val="0"/>
            <w:vAlign w:val="center"/>
          </w:tcPr>
          <w:p w14:paraId="786242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41761B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14</w:t>
            </w:r>
          </w:p>
        </w:tc>
        <w:tc>
          <w:tcPr>
            <w:tcW w:w="2040" w:type="dxa"/>
            <w:noWrap w:val="0"/>
            <w:vAlign w:val="center"/>
          </w:tcPr>
          <w:p w14:paraId="04FFA3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对有关单位未按照规定采取预防措施，导致发生较大以上突发事件等情形的处罚</w:t>
            </w:r>
          </w:p>
        </w:tc>
        <w:tc>
          <w:tcPr>
            <w:tcW w:w="1980" w:type="dxa"/>
            <w:noWrap w:val="0"/>
            <w:vAlign w:val="center"/>
          </w:tcPr>
          <w:p w14:paraId="4EF4F2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未按照规定采取预防措施，导致发生较大以上突发事件的处罚；2.未及时消除已发现的可能引发突发事件的隐患，导致发生较大以上突发事件的处罚；3.未做好应急物资储备和应急设备、设施日常维护、检测工作，导致发生较大以上突发事件或者突发事件危害扩大的处罚；4.突发事件发生后，不及时组织开展应急救援工作，造成严重后果的处罚</w:t>
            </w:r>
          </w:p>
        </w:tc>
        <w:tc>
          <w:tcPr>
            <w:tcW w:w="1365" w:type="dxa"/>
            <w:noWrap w:val="0"/>
            <w:vAlign w:val="center"/>
          </w:tcPr>
          <w:p w14:paraId="792692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1B90DA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《中华人民共和国突发事件应对法》</w:t>
            </w:r>
          </w:p>
          <w:p w14:paraId="598B26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第九十六条 有关单位有下列情形之一，由所在地履行统一领导职责的人民政府有关部门责令停产停业，暂扣或者吊销许可证件，并处五万元以上二十万元以下的罚款；情节特别严重的，并处二十万元以上一百万元以下的罚款：</w:t>
            </w:r>
          </w:p>
          <w:p w14:paraId="47978C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（一）未按照规定采取预防措施，导致发生较大以上突发事件的；</w:t>
            </w:r>
          </w:p>
          <w:p w14:paraId="5F4028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（二）未及时消除已发现的可能引发突发事件的隐患，导致发生较大以上突发事件的；</w:t>
            </w:r>
          </w:p>
          <w:p w14:paraId="6A39C8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（三）未做好应急物资储备和应急设备、设施日常维护、检测工作，导致发生较大以上突发事件或者突发事件危害扩大的；</w:t>
            </w:r>
          </w:p>
          <w:p w14:paraId="08741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（四）突发事件发生后，不及时组织开展应急救援工作，造成严重后果的。</w:t>
            </w:r>
          </w:p>
          <w:p w14:paraId="0D7625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其他法律对前款行为规定了处罚的，依照较重的规定处罚。</w:t>
            </w:r>
          </w:p>
        </w:tc>
        <w:tc>
          <w:tcPr>
            <w:tcW w:w="1710" w:type="dxa"/>
            <w:noWrap w:val="0"/>
            <w:vAlign w:val="center"/>
          </w:tcPr>
          <w:p w14:paraId="067A64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《中华人民共和国突发事件应对法》重新修订</w:t>
            </w:r>
          </w:p>
        </w:tc>
        <w:tc>
          <w:tcPr>
            <w:tcW w:w="749" w:type="dxa"/>
            <w:noWrap w:val="0"/>
            <w:vAlign w:val="center"/>
          </w:tcPr>
          <w:p w14:paraId="5440CD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02E3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748" w:type="dxa"/>
            <w:noWrap w:val="0"/>
            <w:vAlign w:val="center"/>
          </w:tcPr>
          <w:p w14:paraId="160345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0E058C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15</w:t>
            </w:r>
          </w:p>
        </w:tc>
        <w:tc>
          <w:tcPr>
            <w:tcW w:w="2040" w:type="dxa"/>
            <w:noWrap w:val="0"/>
            <w:vAlign w:val="center"/>
          </w:tcPr>
          <w:p w14:paraId="5D1182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对编造并传播有关突发事件的虚假信息，或者明知是有关突发事件的虚假信息而进行传播的处罚</w:t>
            </w:r>
          </w:p>
        </w:tc>
        <w:tc>
          <w:tcPr>
            <w:tcW w:w="1980" w:type="dxa"/>
            <w:noWrap w:val="0"/>
            <w:vAlign w:val="center"/>
          </w:tcPr>
          <w:p w14:paraId="28EB91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03E0B5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3DF846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《中华人民共和国突发事件应对法》</w:t>
            </w:r>
          </w:p>
          <w:p w14:paraId="436A5D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第九十七条 违反本法规定，编造并传播有关突发事件的虚假信息，或者明知是有关突发事件的虚假信息而进行传播的，责令改正，给予警告；造成严重后果的，依法暂停其业务活动或者吊销其许可证件；负有直接责任的人员是公职人员的，还应当依法给予处分。</w:t>
            </w:r>
          </w:p>
        </w:tc>
        <w:tc>
          <w:tcPr>
            <w:tcW w:w="1710" w:type="dxa"/>
            <w:noWrap w:val="0"/>
            <w:vAlign w:val="center"/>
          </w:tcPr>
          <w:p w14:paraId="761C18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《中华人民共和国突发事件应对法》重新修订</w:t>
            </w:r>
          </w:p>
        </w:tc>
        <w:tc>
          <w:tcPr>
            <w:tcW w:w="749" w:type="dxa"/>
            <w:noWrap w:val="0"/>
            <w:vAlign w:val="center"/>
          </w:tcPr>
          <w:p w14:paraId="00C1C9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6C22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748" w:type="dxa"/>
            <w:noWrap w:val="0"/>
            <w:vAlign w:val="center"/>
          </w:tcPr>
          <w:p w14:paraId="30560E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0E4EDEA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16</w:t>
            </w:r>
          </w:p>
        </w:tc>
        <w:tc>
          <w:tcPr>
            <w:tcW w:w="2040" w:type="dxa"/>
            <w:noWrap w:val="0"/>
            <w:vAlign w:val="center"/>
          </w:tcPr>
          <w:p w14:paraId="48C0EC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对货物装载源头单位未建立货物运输安全生产责任制度等情形的处罚</w:t>
            </w:r>
          </w:p>
        </w:tc>
        <w:tc>
          <w:tcPr>
            <w:tcW w:w="1980" w:type="dxa"/>
            <w:noWrap w:val="0"/>
            <w:vAlign w:val="center"/>
          </w:tcPr>
          <w:p w14:paraId="6BB5DE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对未建立货物运输安全生产责任制度的处罚；2.对未明确装载、计量、放行等有关从业人员职责的处罚；3.对未配置符合国家标准的称重用计量器具和监控设备，确保正常使用，称重用计量器具应当依法取得计量检定证书的处罚；4.对未建立健全货物运输车辆装载、配载的登记、统计台账，如实出具装载、配载证明，登记、统计台账至少保存一年的处罚；5.对未接受监管部门的监督检查，如实提供有关情况和资料的处罚</w:t>
            </w:r>
          </w:p>
        </w:tc>
        <w:tc>
          <w:tcPr>
            <w:tcW w:w="1365" w:type="dxa"/>
            <w:noWrap w:val="0"/>
            <w:vAlign w:val="center"/>
          </w:tcPr>
          <w:p w14:paraId="2CC690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1B681A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《福建省治理公路货物运输车辆超限超载条例》</w:t>
            </w:r>
          </w:p>
          <w:p w14:paraId="0819DB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第十三条 从事煤炭、建材、土石方等货物装载以及物流园区、货运站（场）、港口码头、火车站等经营者（以下统称货物装载源头单位），应当遵守下列规定：</w:t>
            </w:r>
          </w:p>
          <w:p w14:paraId="727284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（一）建立货物运输安全生产责任制度；</w:t>
            </w:r>
          </w:p>
          <w:p w14:paraId="6A8040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（二）明确装载、计量、放行等有关从业人员职责；</w:t>
            </w:r>
          </w:p>
          <w:p w14:paraId="57E926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（三）配置符合国家标准的称重用计量器具和监控设备，确保正常使用，称重用计量器具应当依法取得计量检定证书；</w:t>
            </w:r>
          </w:p>
          <w:p w14:paraId="06C256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（四）建立健全货物运输车辆装载、配载的登记、统计台账，如实出具装载、配载证明，登记、统计台账至少保存一年；</w:t>
            </w:r>
          </w:p>
          <w:p w14:paraId="63E6CF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（五）接受监管部门的监督检查，如实提供有关情况和资料。</w:t>
            </w:r>
          </w:p>
          <w:p w14:paraId="6859F6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货物运输车辆驾驶人应当随车携带装载、配载证明或者其他有关证明。</w:t>
            </w:r>
          </w:p>
          <w:p w14:paraId="125AB6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设区的市、县级人民政府应当确定本行政区域货物装载源头单位名录，向社会公布并定期更新。</w:t>
            </w:r>
          </w:p>
          <w:p w14:paraId="5D0671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第三十四条第一款 货物装载源头单位违反本条例第十三条第一款规定的，由县级以上地方人民政府负有货物装载源头单位安全生产监督管理职责的部门责令限期改正；逾期未改正的，处一千元以上五千元以下罚款。</w:t>
            </w:r>
          </w:p>
        </w:tc>
        <w:tc>
          <w:tcPr>
            <w:tcW w:w="1710" w:type="dxa"/>
            <w:noWrap w:val="0"/>
            <w:vAlign w:val="center"/>
          </w:tcPr>
          <w:p w14:paraId="16360C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auto"/>
                <w:sz w:val="21"/>
                <w:szCs w:val="21"/>
                <w:lang w:val="en-US" w:eastAsia="zh-CN"/>
              </w:rPr>
              <w:t>《福建省治理公路货物运输车辆超限超载条例》2024年1月实施。</w:t>
            </w:r>
          </w:p>
        </w:tc>
        <w:tc>
          <w:tcPr>
            <w:tcW w:w="749" w:type="dxa"/>
            <w:noWrap w:val="0"/>
            <w:vAlign w:val="center"/>
          </w:tcPr>
          <w:p w14:paraId="73E341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3C8C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748" w:type="dxa"/>
            <w:noWrap w:val="0"/>
            <w:vAlign w:val="center"/>
          </w:tcPr>
          <w:p w14:paraId="5217E1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3F4DB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17</w:t>
            </w:r>
          </w:p>
        </w:tc>
        <w:tc>
          <w:tcPr>
            <w:tcW w:w="2040" w:type="dxa"/>
            <w:noWrap w:val="0"/>
            <w:vAlign w:val="center"/>
          </w:tcPr>
          <w:p w14:paraId="6B0D7D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对货物装载源头单位为无号牌或者无合法有效证件的货物运输车辆装载、配载货物等情形的处罚</w:t>
            </w:r>
          </w:p>
        </w:tc>
        <w:tc>
          <w:tcPr>
            <w:tcW w:w="1980" w:type="dxa"/>
            <w:noWrap w:val="0"/>
            <w:vAlign w:val="center"/>
          </w:tcPr>
          <w:p w14:paraId="037DC9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1.为无号牌或者无合法有效证件的货物运输车辆装载、配载货物的处罚；2.放行违法超限超载车辆出站（场）的处罚</w:t>
            </w:r>
          </w:p>
        </w:tc>
        <w:tc>
          <w:tcPr>
            <w:tcW w:w="1365" w:type="dxa"/>
            <w:noWrap w:val="0"/>
            <w:vAlign w:val="center"/>
          </w:tcPr>
          <w:p w14:paraId="49D0F41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行政处罚</w:t>
            </w:r>
          </w:p>
        </w:tc>
        <w:tc>
          <w:tcPr>
            <w:tcW w:w="6720" w:type="dxa"/>
            <w:noWrap w:val="0"/>
            <w:vAlign w:val="center"/>
          </w:tcPr>
          <w:p w14:paraId="4E3754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《福建省治理公路货物运输车辆超限超载条例》</w:t>
            </w:r>
          </w:p>
          <w:p w14:paraId="19C96A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第十四条 货物装载源头单位不得有下列行为：</w:t>
            </w:r>
          </w:p>
          <w:p w14:paraId="000695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（一）为无号牌或者无合法有效证件的货物运输车辆装载、配载货物；</w:t>
            </w:r>
          </w:p>
          <w:p w14:paraId="5FC51F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（二）放行违法超限超载车辆出站（场）。</w:t>
            </w:r>
          </w:p>
          <w:p w14:paraId="2361BF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任何单位和个人不得提供、出具虚假装载、配载证明，指使、强令货物运输车辆驾驶人违法超限超载运输。</w:t>
            </w:r>
          </w:p>
          <w:p w14:paraId="036DCE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第三十五条第一款 货物装载源头单位违反本条例第十四条第一款规定的，由县级以上地方人民政府负有货物装载源头单位安全生产监督管理职责的部门责令改正，处一万元以上三万元以下罚款。</w:t>
            </w:r>
          </w:p>
        </w:tc>
        <w:tc>
          <w:tcPr>
            <w:tcW w:w="1710" w:type="dxa"/>
            <w:noWrap w:val="0"/>
            <w:vAlign w:val="center"/>
          </w:tcPr>
          <w:p w14:paraId="01B36D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auto"/>
                <w:sz w:val="21"/>
                <w:szCs w:val="21"/>
                <w:lang w:val="en-US" w:eastAsia="zh-CN"/>
              </w:rPr>
              <w:t>《福建省治理公路货物运输车辆超限超载条例》2024年1月实施。</w:t>
            </w:r>
          </w:p>
        </w:tc>
        <w:tc>
          <w:tcPr>
            <w:tcW w:w="749" w:type="dxa"/>
            <w:noWrap w:val="0"/>
            <w:vAlign w:val="center"/>
          </w:tcPr>
          <w:p w14:paraId="020D2D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6BD6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48" w:type="dxa"/>
            <w:noWrap w:val="0"/>
            <w:vAlign w:val="center"/>
          </w:tcPr>
          <w:p w14:paraId="35F434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新增</w:t>
            </w:r>
          </w:p>
        </w:tc>
        <w:tc>
          <w:tcPr>
            <w:tcW w:w="480" w:type="dxa"/>
            <w:noWrap w:val="0"/>
            <w:vAlign w:val="center"/>
          </w:tcPr>
          <w:p w14:paraId="767912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18</w:t>
            </w:r>
          </w:p>
        </w:tc>
        <w:tc>
          <w:tcPr>
            <w:tcW w:w="2040" w:type="dxa"/>
            <w:noWrap w:val="0"/>
            <w:vAlign w:val="center"/>
          </w:tcPr>
          <w:p w14:paraId="70334B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第三类易制毒化学品经营备案</w:t>
            </w:r>
          </w:p>
        </w:tc>
        <w:tc>
          <w:tcPr>
            <w:tcW w:w="1980" w:type="dxa"/>
            <w:noWrap w:val="0"/>
            <w:vAlign w:val="center"/>
          </w:tcPr>
          <w:p w14:paraId="159A37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c>
          <w:tcPr>
            <w:tcW w:w="1365" w:type="dxa"/>
            <w:noWrap w:val="0"/>
            <w:vAlign w:val="center"/>
          </w:tcPr>
          <w:p w14:paraId="7D16F9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其他行政权力</w:t>
            </w:r>
          </w:p>
        </w:tc>
        <w:tc>
          <w:tcPr>
            <w:tcW w:w="6720" w:type="dxa"/>
            <w:noWrap w:val="0"/>
            <w:vAlign w:val="center"/>
          </w:tcPr>
          <w:p w14:paraId="3FDE6C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1.《非药品类易制毒化学品生产、经营许可办法》（国家安全监管总局令第5号）</w:t>
            </w:r>
          </w:p>
          <w:p w14:paraId="369432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第三条　国家对非药品类易制毒化学品的生产、经营实行许可制度。对第一类非药品类易制毒化学品的生产、经营实行许可证管理，对第二类、第三类易制毒化学品的生产、经营实行备案证明管理。</w:t>
            </w:r>
          </w:p>
          <w:p w14:paraId="5C7DE5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省、自治区、直辖市人民政府安全生产监督管理部门负责本行政区域内第一类非药品类易制毒化学品生产、经营的审批和许可证的颁发工作。</w:t>
            </w:r>
          </w:p>
          <w:p w14:paraId="25170B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设区的市级人民政府安全生产监督管理部门负责本行政区域内第二类非药品类易制毒化学品生产、经营和第三类非药品类易制毒化学品生产的备案证明颁发工作。</w:t>
            </w:r>
          </w:p>
          <w:p w14:paraId="58B821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 xml:space="preserve">    县级人民政府安全生产监督管理部门负责本行政区域内第三类非药品类易制毒化学品经营的备案证明颁发工作。</w:t>
            </w:r>
          </w:p>
        </w:tc>
        <w:tc>
          <w:tcPr>
            <w:tcW w:w="1710" w:type="dxa"/>
            <w:noWrap w:val="0"/>
            <w:vAlign w:val="center"/>
          </w:tcPr>
          <w:p w14:paraId="3E827C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r>
              <w:rPr>
                <w:rFonts w:hint="eastAsia" w:ascii="楷体_GB2312" w:hAnsi="楷体_GB2312" w:eastAsia="楷体_GB2312" w:cs="楷体_GB2312"/>
                <w:color w:val="000000"/>
                <w:sz w:val="21"/>
                <w:szCs w:val="21"/>
                <w:vertAlign w:val="baseline"/>
                <w:lang w:val="en-US" w:eastAsia="zh-CN"/>
              </w:rPr>
              <w:t>市局下放调整</w:t>
            </w:r>
          </w:p>
        </w:tc>
        <w:tc>
          <w:tcPr>
            <w:tcW w:w="749" w:type="dxa"/>
            <w:noWrap w:val="0"/>
            <w:vAlign w:val="center"/>
          </w:tcPr>
          <w:p w14:paraId="54C0C8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楷体_GB2312" w:hAnsi="楷体_GB2312" w:eastAsia="楷体_GB2312" w:cs="楷体_GB2312"/>
                <w:color w:val="000000"/>
                <w:sz w:val="21"/>
                <w:szCs w:val="21"/>
                <w:vertAlign w:val="baseline"/>
                <w:lang w:val="en-US" w:eastAsia="zh-CN"/>
              </w:rPr>
            </w:pPr>
          </w:p>
        </w:tc>
      </w:tr>
      <w:tr w14:paraId="2EA7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48" w:type="dxa"/>
            <w:noWrap w:val="0"/>
            <w:vAlign w:val="center"/>
          </w:tcPr>
          <w:p w14:paraId="489536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调整前</w:t>
            </w:r>
          </w:p>
        </w:tc>
        <w:tc>
          <w:tcPr>
            <w:tcW w:w="15044" w:type="dxa"/>
            <w:gridSpan w:val="7"/>
            <w:noWrap w:val="0"/>
            <w:vAlign w:val="center"/>
          </w:tcPr>
          <w:p w14:paraId="4B8AE3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事项合计（</w:t>
            </w:r>
            <w:r>
              <w:rPr>
                <w:rFonts w:hint="eastAsia" w:ascii="宋体" w:hAnsi="宋体" w:cs="宋体"/>
                <w:color w:val="000000"/>
                <w:sz w:val="24"/>
                <w:szCs w:val="24"/>
                <w:vertAlign w:val="baseline"/>
                <w:lang w:val="en-US" w:eastAsia="zh-CN"/>
              </w:rPr>
              <w:t>177</w:t>
            </w:r>
            <w:r>
              <w:rPr>
                <w:rFonts w:hint="eastAsia" w:ascii="宋体" w:hAnsi="宋体" w:eastAsia="宋体" w:cs="宋体"/>
                <w:color w:val="000000"/>
                <w:sz w:val="24"/>
                <w:szCs w:val="24"/>
                <w:vertAlign w:val="baseline"/>
                <w:lang w:val="en-US" w:eastAsia="zh-CN"/>
              </w:rPr>
              <w:t>）项，其中：行政许可（</w:t>
            </w:r>
            <w:r>
              <w:rPr>
                <w:rFonts w:hint="eastAsia" w:ascii="宋体" w:hAnsi="宋体" w:cs="宋体"/>
                <w:color w:val="000000"/>
                <w:sz w:val="24"/>
                <w:szCs w:val="24"/>
                <w:vertAlign w:val="baseline"/>
                <w:lang w:val="en-US" w:eastAsia="zh-CN"/>
              </w:rPr>
              <w:t>7</w:t>
            </w:r>
            <w:r>
              <w:rPr>
                <w:rFonts w:hint="eastAsia" w:ascii="宋体" w:hAnsi="宋体" w:eastAsia="宋体" w:cs="宋体"/>
                <w:color w:val="000000"/>
                <w:sz w:val="24"/>
                <w:szCs w:val="24"/>
                <w:vertAlign w:val="baseline"/>
                <w:lang w:val="en-US" w:eastAsia="zh-CN"/>
              </w:rPr>
              <w:t>）项、行政处罚（</w:t>
            </w:r>
            <w:r>
              <w:rPr>
                <w:rFonts w:hint="eastAsia" w:ascii="宋体" w:hAnsi="宋体" w:cs="宋体"/>
                <w:color w:val="000000"/>
                <w:sz w:val="24"/>
                <w:szCs w:val="24"/>
                <w:vertAlign w:val="baseline"/>
                <w:lang w:val="en-US" w:eastAsia="zh-CN"/>
              </w:rPr>
              <w:t>121</w:t>
            </w:r>
            <w:r>
              <w:rPr>
                <w:rFonts w:hint="eastAsia" w:ascii="宋体" w:hAnsi="宋体" w:eastAsia="宋体" w:cs="宋体"/>
                <w:color w:val="000000"/>
                <w:sz w:val="24"/>
                <w:szCs w:val="24"/>
                <w:vertAlign w:val="baseline"/>
                <w:lang w:val="en-US" w:eastAsia="zh-CN"/>
              </w:rPr>
              <w:t>）项、行政强制（</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）项、行政征收（</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）项、行政征用（</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）项、行政给付（</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）项、行政监督检查（</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）项、行政确认（</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）项、行政裁决（</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）项、行政奖励（</w:t>
            </w:r>
            <w:r>
              <w:rPr>
                <w:rFonts w:hint="eastAsia" w:ascii="宋体" w:hAnsi="宋体" w:cs="宋体"/>
                <w:color w:val="000000"/>
                <w:sz w:val="24"/>
                <w:szCs w:val="24"/>
                <w:vertAlign w:val="baseline"/>
                <w:lang w:val="en-US" w:eastAsia="zh-CN"/>
              </w:rPr>
              <w:t>1</w:t>
            </w:r>
            <w:r>
              <w:rPr>
                <w:rFonts w:hint="eastAsia" w:ascii="宋体" w:hAnsi="宋体" w:eastAsia="宋体" w:cs="宋体"/>
                <w:color w:val="000000"/>
                <w:sz w:val="24"/>
                <w:szCs w:val="24"/>
                <w:vertAlign w:val="baseline"/>
                <w:lang w:val="en-US" w:eastAsia="zh-CN"/>
              </w:rPr>
              <w:t>）项、其他行政权力（</w:t>
            </w:r>
            <w:r>
              <w:rPr>
                <w:rFonts w:hint="eastAsia" w:ascii="宋体" w:hAnsi="宋体" w:cs="宋体"/>
                <w:color w:val="000000"/>
                <w:sz w:val="24"/>
                <w:szCs w:val="24"/>
                <w:vertAlign w:val="baseline"/>
                <w:lang w:val="en-US" w:eastAsia="zh-CN"/>
              </w:rPr>
              <w:t>4</w:t>
            </w:r>
            <w:r>
              <w:rPr>
                <w:rFonts w:hint="eastAsia" w:ascii="宋体" w:hAnsi="宋体" w:eastAsia="宋体" w:cs="宋体"/>
                <w:color w:val="000000"/>
                <w:sz w:val="24"/>
                <w:szCs w:val="24"/>
                <w:vertAlign w:val="baseline"/>
                <w:lang w:val="en-US" w:eastAsia="zh-CN"/>
              </w:rPr>
              <w:t>）项、公共服务事项（</w:t>
            </w:r>
            <w:r>
              <w:rPr>
                <w:rFonts w:hint="eastAsia" w:ascii="宋体" w:hAnsi="宋体" w:cs="宋体"/>
                <w:color w:val="000000"/>
                <w:sz w:val="24"/>
                <w:szCs w:val="24"/>
                <w:vertAlign w:val="baseline"/>
                <w:lang w:val="en-US" w:eastAsia="zh-CN"/>
              </w:rPr>
              <w:t>7</w:t>
            </w:r>
            <w:r>
              <w:rPr>
                <w:rFonts w:hint="eastAsia" w:ascii="宋体" w:hAnsi="宋体" w:eastAsia="宋体" w:cs="宋体"/>
                <w:color w:val="000000"/>
                <w:sz w:val="24"/>
                <w:szCs w:val="24"/>
                <w:vertAlign w:val="baseline"/>
                <w:lang w:val="en-US" w:eastAsia="zh-CN"/>
              </w:rPr>
              <w:t>）项、其他权责事项（</w:t>
            </w:r>
            <w:r>
              <w:rPr>
                <w:rFonts w:hint="eastAsia" w:ascii="宋体" w:hAnsi="宋体" w:cs="宋体"/>
                <w:color w:val="000000"/>
                <w:sz w:val="24"/>
                <w:szCs w:val="24"/>
                <w:vertAlign w:val="baseline"/>
                <w:lang w:val="en-US" w:eastAsia="zh-CN"/>
              </w:rPr>
              <w:t>25</w:t>
            </w:r>
            <w:r>
              <w:rPr>
                <w:rFonts w:hint="eastAsia" w:ascii="宋体" w:hAnsi="宋体" w:eastAsia="宋体" w:cs="宋体"/>
                <w:color w:val="000000"/>
                <w:sz w:val="24"/>
                <w:szCs w:val="24"/>
                <w:vertAlign w:val="baseline"/>
                <w:lang w:val="en-US" w:eastAsia="zh-CN"/>
              </w:rPr>
              <w:t>）项</w:t>
            </w:r>
          </w:p>
        </w:tc>
      </w:tr>
      <w:tr w14:paraId="1859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48" w:type="dxa"/>
            <w:noWrap w:val="0"/>
            <w:vAlign w:val="center"/>
          </w:tcPr>
          <w:p w14:paraId="1DC4DB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变动</w:t>
            </w:r>
          </w:p>
        </w:tc>
        <w:tc>
          <w:tcPr>
            <w:tcW w:w="15044" w:type="dxa"/>
            <w:gridSpan w:val="7"/>
            <w:noWrap w:val="0"/>
            <w:vAlign w:val="center"/>
          </w:tcPr>
          <w:p w14:paraId="4076D5D5">
            <w:pPr>
              <w:keepNext w:val="0"/>
              <w:keepLines w:val="0"/>
              <w:pageBreakBefore w:val="0"/>
              <w:widowControl w:val="0"/>
              <w:tabs>
                <w:tab w:val="left" w:pos="916"/>
              </w:tabs>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增加合计（</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）项，其中：行政处罚</w:t>
            </w:r>
            <w:r>
              <w:rPr>
                <w:rFonts w:hint="eastAsia" w:ascii="宋体" w:hAnsi="宋体" w:cs="宋体"/>
                <w:color w:val="000000"/>
                <w:sz w:val="24"/>
                <w:szCs w:val="24"/>
                <w:vertAlign w:val="baseline"/>
                <w:lang w:val="en-US" w:eastAsia="zh-CN"/>
              </w:rPr>
              <w:t>5项、其他行政权力1项</w:t>
            </w:r>
          </w:p>
          <w:p w14:paraId="06E59CE7">
            <w:pPr>
              <w:keepNext w:val="0"/>
              <w:keepLines w:val="0"/>
              <w:pageBreakBefore w:val="0"/>
              <w:widowControl w:val="0"/>
              <w:tabs>
                <w:tab w:val="left" w:pos="916"/>
              </w:tabs>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减少合计（</w:t>
            </w:r>
            <w:r>
              <w:rPr>
                <w:rFonts w:hint="eastAsia" w:ascii="宋体" w:hAnsi="宋体" w:cs="宋体"/>
                <w:color w:val="000000"/>
                <w:sz w:val="24"/>
                <w:szCs w:val="24"/>
                <w:vertAlign w:val="baseline"/>
                <w:lang w:val="en-US" w:eastAsia="zh-CN"/>
              </w:rPr>
              <w:t>3</w:t>
            </w:r>
            <w:r>
              <w:rPr>
                <w:rFonts w:hint="eastAsia" w:ascii="宋体" w:hAnsi="宋体" w:eastAsia="宋体" w:cs="宋体"/>
                <w:color w:val="000000"/>
                <w:sz w:val="24"/>
                <w:szCs w:val="24"/>
                <w:vertAlign w:val="baseline"/>
                <w:lang w:val="en-US" w:eastAsia="zh-CN"/>
              </w:rPr>
              <w:t>）项，其中：行政处罚</w:t>
            </w:r>
            <w:r>
              <w:rPr>
                <w:rFonts w:hint="eastAsia" w:ascii="宋体" w:hAnsi="宋体" w:cs="宋体"/>
                <w:color w:val="000000"/>
                <w:sz w:val="24"/>
                <w:szCs w:val="24"/>
                <w:vertAlign w:val="baseline"/>
                <w:lang w:val="en-US" w:eastAsia="zh-CN"/>
              </w:rPr>
              <w:t>2项、其他行政权力1项</w:t>
            </w:r>
          </w:p>
          <w:p w14:paraId="49D0D337">
            <w:pPr>
              <w:pStyle w:val="2"/>
              <w:ind w:left="0" w:leftChars="0" w:firstLine="0" w:firstLineChars="0"/>
              <w:rPr>
                <w:rFonts w:hint="default"/>
                <w:lang w:val="en-US" w:eastAsia="zh-CN"/>
              </w:rPr>
            </w:pPr>
            <w:r>
              <w:rPr>
                <w:rFonts w:hint="eastAsia" w:ascii="宋体" w:hAnsi="宋体" w:cs="宋体"/>
                <w:color w:val="000000"/>
                <w:sz w:val="24"/>
                <w:szCs w:val="24"/>
                <w:vertAlign w:val="baseline"/>
                <w:lang w:val="en-US" w:eastAsia="zh-CN"/>
              </w:rPr>
              <w:t>调整合计（1）项，调整公共服务为行政给付1项</w:t>
            </w:r>
          </w:p>
        </w:tc>
      </w:tr>
      <w:tr w14:paraId="513F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48" w:type="dxa"/>
            <w:noWrap w:val="0"/>
            <w:vAlign w:val="center"/>
          </w:tcPr>
          <w:p w14:paraId="4D6656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调整后</w:t>
            </w:r>
          </w:p>
        </w:tc>
        <w:tc>
          <w:tcPr>
            <w:tcW w:w="15044" w:type="dxa"/>
            <w:gridSpan w:val="7"/>
            <w:noWrap w:val="0"/>
            <w:vAlign w:val="center"/>
          </w:tcPr>
          <w:p w14:paraId="24238E13">
            <w:pPr>
              <w:keepNext w:val="0"/>
              <w:keepLines w:val="0"/>
              <w:pageBreakBefore w:val="0"/>
              <w:widowControl w:val="0"/>
              <w:tabs>
                <w:tab w:val="left" w:pos="916"/>
              </w:tabs>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事项合计（</w:t>
            </w:r>
            <w:r>
              <w:rPr>
                <w:rFonts w:hint="eastAsia" w:ascii="宋体" w:hAnsi="宋体" w:cs="宋体"/>
                <w:color w:val="000000"/>
                <w:sz w:val="24"/>
                <w:szCs w:val="24"/>
                <w:vertAlign w:val="baseline"/>
                <w:lang w:val="en-US" w:eastAsia="zh-CN"/>
              </w:rPr>
              <w:t>180</w:t>
            </w:r>
            <w:r>
              <w:rPr>
                <w:rFonts w:hint="eastAsia" w:ascii="宋体" w:hAnsi="宋体" w:eastAsia="宋体" w:cs="宋体"/>
                <w:color w:val="000000"/>
                <w:sz w:val="24"/>
                <w:szCs w:val="24"/>
                <w:vertAlign w:val="baseline"/>
                <w:lang w:val="en-US" w:eastAsia="zh-CN"/>
              </w:rPr>
              <w:t>）项，其中：行政许可（</w:t>
            </w:r>
            <w:r>
              <w:rPr>
                <w:rFonts w:hint="eastAsia" w:ascii="宋体" w:hAnsi="宋体" w:cs="宋体"/>
                <w:color w:val="000000"/>
                <w:sz w:val="24"/>
                <w:szCs w:val="24"/>
                <w:vertAlign w:val="baseline"/>
                <w:lang w:val="en-US" w:eastAsia="zh-CN"/>
              </w:rPr>
              <w:t>7</w:t>
            </w:r>
            <w:r>
              <w:rPr>
                <w:rFonts w:hint="eastAsia" w:ascii="宋体" w:hAnsi="宋体" w:eastAsia="宋体" w:cs="宋体"/>
                <w:color w:val="000000"/>
                <w:sz w:val="24"/>
                <w:szCs w:val="24"/>
                <w:vertAlign w:val="baseline"/>
                <w:lang w:val="en-US" w:eastAsia="zh-CN"/>
              </w:rPr>
              <w:t>）项、行政处罚（</w:t>
            </w:r>
            <w:r>
              <w:rPr>
                <w:rFonts w:hint="eastAsia" w:ascii="宋体" w:hAnsi="宋体" w:cs="宋体"/>
                <w:color w:val="000000"/>
                <w:sz w:val="24"/>
                <w:szCs w:val="24"/>
                <w:vertAlign w:val="baseline"/>
                <w:lang w:val="en-US" w:eastAsia="zh-CN"/>
              </w:rPr>
              <w:t>124</w:t>
            </w:r>
            <w:r>
              <w:rPr>
                <w:rFonts w:hint="eastAsia" w:ascii="宋体" w:hAnsi="宋体" w:eastAsia="宋体" w:cs="宋体"/>
                <w:color w:val="000000"/>
                <w:sz w:val="24"/>
                <w:szCs w:val="24"/>
                <w:vertAlign w:val="baseline"/>
                <w:lang w:val="en-US" w:eastAsia="zh-CN"/>
              </w:rPr>
              <w:t>）项、行政强制（</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）项、行政征收（</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）项、行政征用（</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）项、行政给付（</w:t>
            </w:r>
            <w:r>
              <w:rPr>
                <w:rFonts w:hint="eastAsia" w:ascii="宋体" w:hAnsi="宋体" w:cs="宋体"/>
                <w:color w:val="000000"/>
                <w:sz w:val="24"/>
                <w:szCs w:val="24"/>
                <w:vertAlign w:val="baseline"/>
                <w:lang w:val="en-US" w:eastAsia="zh-CN"/>
              </w:rPr>
              <w:t>1</w:t>
            </w:r>
            <w:r>
              <w:rPr>
                <w:rFonts w:hint="eastAsia" w:ascii="宋体" w:hAnsi="宋体" w:eastAsia="宋体" w:cs="宋体"/>
                <w:color w:val="000000"/>
                <w:sz w:val="24"/>
                <w:szCs w:val="24"/>
                <w:vertAlign w:val="baseline"/>
                <w:lang w:val="en-US" w:eastAsia="zh-CN"/>
              </w:rPr>
              <w:t>）项、行政监督检查（</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）项、行政确认（</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）项、行政裁决（</w:t>
            </w:r>
            <w:r>
              <w:rPr>
                <w:rFonts w:hint="eastAsia" w:ascii="宋体" w:hAnsi="宋体" w:cs="宋体"/>
                <w:color w:val="000000"/>
                <w:sz w:val="24"/>
                <w:szCs w:val="24"/>
                <w:vertAlign w:val="baseline"/>
                <w:lang w:val="en-US" w:eastAsia="zh-CN"/>
              </w:rPr>
              <w:t>0</w:t>
            </w:r>
            <w:r>
              <w:rPr>
                <w:rFonts w:hint="eastAsia" w:ascii="宋体" w:hAnsi="宋体" w:eastAsia="宋体" w:cs="宋体"/>
                <w:color w:val="000000"/>
                <w:sz w:val="24"/>
                <w:szCs w:val="24"/>
                <w:vertAlign w:val="baseline"/>
                <w:lang w:val="en-US" w:eastAsia="zh-CN"/>
              </w:rPr>
              <w:t>）项、行政奖励（</w:t>
            </w:r>
            <w:r>
              <w:rPr>
                <w:rFonts w:hint="eastAsia" w:ascii="宋体" w:hAnsi="宋体" w:cs="宋体"/>
                <w:color w:val="000000"/>
                <w:sz w:val="24"/>
                <w:szCs w:val="24"/>
                <w:vertAlign w:val="baseline"/>
                <w:lang w:val="en-US" w:eastAsia="zh-CN"/>
              </w:rPr>
              <w:t>1</w:t>
            </w:r>
            <w:r>
              <w:rPr>
                <w:rFonts w:hint="eastAsia" w:ascii="宋体" w:hAnsi="宋体" w:eastAsia="宋体" w:cs="宋体"/>
                <w:color w:val="000000"/>
                <w:sz w:val="24"/>
                <w:szCs w:val="24"/>
                <w:vertAlign w:val="baseline"/>
                <w:lang w:val="en-US" w:eastAsia="zh-CN"/>
              </w:rPr>
              <w:t>）项、其他行政权力（</w:t>
            </w:r>
            <w:r>
              <w:rPr>
                <w:rFonts w:hint="eastAsia" w:ascii="宋体" w:hAnsi="宋体" w:cs="宋体"/>
                <w:color w:val="000000"/>
                <w:sz w:val="24"/>
                <w:szCs w:val="24"/>
                <w:vertAlign w:val="baseline"/>
                <w:lang w:val="en-US" w:eastAsia="zh-CN"/>
              </w:rPr>
              <w:t>4</w:t>
            </w:r>
            <w:r>
              <w:rPr>
                <w:rFonts w:hint="eastAsia" w:ascii="宋体" w:hAnsi="宋体" w:eastAsia="宋体" w:cs="宋体"/>
                <w:color w:val="000000"/>
                <w:sz w:val="24"/>
                <w:szCs w:val="24"/>
                <w:vertAlign w:val="baseline"/>
                <w:lang w:val="en-US" w:eastAsia="zh-CN"/>
              </w:rPr>
              <w:t>）项、公共服务事项（</w:t>
            </w:r>
            <w:r>
              <w:rPr>
                <w:rFonts w:hint="eastAsia" w:ascii="宋体" w:hAnsi="宋体" w:cs="宋体"/>
                <w:color w:val="000000"/>
                <w:sz w:val="24"/>
                <w:szCs w:val="24"/>
                <w:vertAlign w:val="baseline"/>
                <w:lang w:val="en-US" w:eastAsia="zh-CN"/>
              </w:rPr>
              <w:t>6</w:t>
            </w:r>
            <w:r>
              <w:rPr>
                <w:rFonts w:hint="eastAsia" w:ascii="宋体" w:hAnsi="宋体" w:eastAsia="宋体" w:cs="宋体"/>
                <w:color w:val="000000"/>
                <w:sz w:val="24"/>
                <w:szCs w:val="24"/>
                <w:vertAlign w:val="baseline"/>
                <w:lang w:val="en-US" w:eastAsia="zh-CN"/>
              </w:rPr>
              <w:t>）项、其他权责事项（</w:t>
            </w:r>
            <w:r>
              <w:rPr>
                <w:rFonts w:hint="eastAsia" w:ascii="宋体" w:hAnsi="宋体" w:cs="宋体"/>
                <w:color w:val="000000"/>
                <w:sz w:val="24"/>
                <w:szCs w:val="24"/>
                <w:vertAlign w:val="baseline"/>
                <w:lang w:val="en-US" w:eastAsia="zh-CN"/>
              </w:rPr>
              <w:t>25</w:t>
            </w:r>
            <w:r>
              <w:rPr>
                <w:rFonts w:hint="eastAsia" w:ascii="宋体" w:hAnsi="宋体" w:eastAsia="宋体" w:cs="宋体"/>
                <w:color w:val="000000"/>
                <w:sz w:val="24"/>
                <w:szCs w:val="24"/>
                <w:vertAlign w:val="baseline"/>
                <w:lang w:val="en-US" w:eastAsia="zh-CN"/>
              </w:rPr>
              <w:t>）项</w:t>
            </w:r>
          </w:p>
        </w:tc>
      </w:tr>
    </w:tbl>
    <w:p w14:paraId="5E293497">
      <w:pPr>
        <w:keepNext w:val="0"/>
        <w:keepLines w:val="0"/>
        <w:pageBreakBefore w:val="0"/>
        <w:widowControl w:val="0"/>
        <w:kinsoku/>
        <w:wordWrap/>
        <w:overflowPunct/>
        <w:topLinePunct w:val="0"/>
        <w:autoSpaceDE/>
        <w:autoSpaceDN/>
        <w:bidi w:val="0"/>
        <w:adjustRightInd/>
        <w:snapToGrid/>
        <w:spacing w:line="300" w:lineRule="exact"/>
        <w:ind w:left="840" w:hanging="840" w:hangingChars="400"/>
        <w:jc w:val="left"/>
        <w:textAlignment w:val="auto"/>
        <w:rPr>
          <w:rFonts w:hint="default" w:ascii="Times New Roman" w:hAnsi="Times New Roman" w:eastAsia="楷体_GB2312" w:cs="Times New Roman"/>
          <w:color w:val="000000"/>
          <w:sz w:val="21"/>
          <w:szCs w:val="21"/>
          <w:lang w:val="en-US" w:eastAsia="zh-CN"/>
        </w:rPr>
      </w:pPr>
      <w:r>
        <w:rPr>
          <w:rFonts w:hint="default" w:ascii="Times New Roman" w:hAnsi="Times New Roman" w:eastAsia="楷体_GB2312" w:cs="Times New Roman"/>
          <w:color w:val="000000"/>
          <w:sz w:val="21"/>
          <w:szCs w:val="21"/>
          <w:lang w:val="en-US" w:eastAsia="zh-CN"/>
        </w:rPr>
        <w:t>备注：1.备案</w:t>
      </w:r>
      <w:r>
        <w:rPr>
          <w:rFonts w:hint="eastAsia" w:ascii="Times New Roman" w:hAnsi="Times New Roman" w:eastAsia="楷体_GB2312" w:cs="Times New Roman"/>
          <w:color w:val="000000"/>
          <w:sz w:val="21"/>
          <w:szCs w:val="21"/>
          <w:lang w:val="en-US" w:eastAsia="zh-CN"/>
        </w:rPr>
        <w:t>审查</w:t>
      </w:r>
      <w:r>
        <w:rPr>
          <w:rFonts w:hint="default" w:ascii="Times New Roman" w:hAnsi="Times New Roman" w:eastAsia="楷体_GB2312" w:cs="Times New Roman"/>
          <w:color w:val="000000"/>
          <w:sz w:val="21"/>
          <w:szCs w:val="21"/>
          <w:lang w:val="en-US" w:eastAsia="zh-CN"/>
        </w:rPr>
        <w:t>类事项：⑴依据法律法规规章或市政府决定调整的事项；⑵权责事项涉及名称、子项、设定依据等变更调整的；⑶依申请权责事项</w:t>
      </w:r>
      <w:r>
        <w:rPr>
          <w:rFonts w:hint="eastAsia" w:ascii="Times New Roman" w:hAnsi="Times New Roman" w:eastAsia="楷体_GB2312" w:cs="Times New Roman"/>
          <w:color w:val="000000"/>
          <w:sz w:val="21"/>
          <w:szCs w:val="21"/>
          <w:lang w:val="en-US" w:eastAsia="zh-CN"/>
        </w:rPr>
        <w:t>，但涉及</w:t>
      </w:r>
      <w:r>
        <w:rPr>
          <w:rFonts w:hint="default" w:ascii="Times New Roman" w:hAnsi="Times New Roman" w:eastAsia="楷体_GB2312" w:cs="Times New Roman"/>
          <w:color w:val="000000"/>
          <w:sz w:val="21"/>
          <w:szCs w:val="21"/>
          <w:lang w:val="en-US" w:eastAsia="zh-CN"/>
        </w:rPr>
        <w:t>实施的内设机</w:t>
      </w:r>
      <w:r>
        <w:rPr>
          <w:rFonts w:hint="eastAsia" w:ascii="Times New Roman" w:hAnsi="Times New Roman" w:eastAsia="楷体_GB2312" w:cs="Times New Roman"/>
          <w:color w:val="000000"/>
          <w:sz w:val="21"/>
          <w:szCs w:val="21"/>
          <w:lang w:val="en-US" w:eastAsia="zh-CN"/>
        </w:rPr>
        <w:t>构、实施主体变更调整的除外</w:t>
      </w:r>
      <w:r>
        <w:rPr>
          <w:rFonts w:hint="default" w:ascii="Times New Roman" w:hAnsi="Times New Roman" w:eastAsia="楷体_GB2312" w:cs="Times New Roman"/>
          <w:color w:val="000000"/>
          <w:sz w:val="21"/>
          <w:szCs w:val="21"/>
          <w:lang w:val="en-US" w:eastAsia="zh-CN"/>
        </w:rPr>
        <w:t>。</w:t>
      </w:r>
    </w:p>
    <w:p w14:paraId="29C8F341">
      <w:pPr>
        <w:keepNext w:val="0"/>
        <w:keepLines w:val="0"/>
        <w:pageBreakBefore w:val="0"/>
        <w:widowControl w:val="0"/>
        <w:kinsoku/>
        <w:wordWrap/>
        <w:overflowPunct/>
        <w:topLinePunct w:val="0"/>
        <w:autoSpaceDE/>
        <w:autoSpaceDN/>
        <w:bidi w:val="0"/>
        <w:adjustRightInd/>
        <w:snapToGrid/>
        <w:spacing w:line="300" w:lineRule="exact"/>
        <w:ind w:left="840" w:leftChars="300" w:hanging="210" w:hangingChars="100"/>
        <w:jc w:val="left"/>
        <w:textAlignment w:val="auto"/>
        <w:rPr>
          <w:rFonts w:hint="default" w:ascii="Times New Roman" w:hAnsi="Times New Roman" w:eastAsia="楷体_GB2312" w:cs="Times New Roman"/>
          <w:color w:val="000000"/>
          <w:sz w:val="21"/>
          <w:szCs w:val="21"/>
          <w:lang w:val="en-US" w:eastAsia="zh-CN"/>
        </w:rPr>
      </w:pPr>
      <w:r>
        <w:rPr>
          <w:rFonts w:hint="default" w:ascii="Times New Roman" w:hAnsi="Times New Roman" w:eastAsia="楷体_GB2312" w:cs="Times New Roman"/>
          <w:color w:val="000000"/>
          <w:sz w:val="21"/>
          <w:szCs w:val="21"/>
          <w:lang w:val="en-US" w:eastAsia="zh-CN"/>
        </w:rPr>
        <w:t>2.审核审批类事项：权责事项涉及实施的内设机构、类型、合并或分设、实施主体等变更调整的。</w:t>
      </w:r>
    </w:p>
    <w:p w14:paraId="750DF42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630" w:firstLineChars="300"/>
        <w:jc w:val="left"/>
        <w:textAlignment w:val="auto"/>
      </w:pPr>
      <w:r>
        <w:rPr>
          <w:rFonts w:hint="default" w:ascii="Times New Roman" w:hAnsi="Times New Roman" w:eastAsia="楷体_GB2312" w:cs="Times New Roman"/>
          <w:color w:val="000000"/>
          <w:sz w:val="21"/>
          <w:szCs w:val="21"/>
          <w:lang w:val="en-US" w:eastAsia="zh-CN"/>
        </w:rPr>
        <w:t>3.可自行转换成Excel A4格式。</w:t>
      </w:r>
    </w:p>
    <w:sectPr>
      <w:pgSz w:w="16838" w:h="11906" w:orient="landscape"/>
      <w:pgMar w:top="1803" w:right="873" w:bottom="1803" w:left="200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A4EC67"/>
    <w:multiLevelType w:val="singleLevel"/>
    <w:tmpl w:val="72A4EC6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222CE"/>
    <w:rsid w:val="06D268F4"/>
    <w:rsid w:val="08CE2541"/>
    <w:rsid w:val="119E7F24"/>
    <w:rsid w:val="12F72B25"/>
    <w:rsid w:val="13F83E5E"/>
    <w:rsid w:val="156C1B3E"/>
    <w:rsid w:val="15985AC8"/>
    <w:rsid w:val="1D0332E8"/>
    <w:rsid w:val="2B5E443E"/>
    <w:rsid w:val="31B767EF"/>
    <w:rsid w:val="338701BF"/>
    <w:rsid w:val="33A37FA3"/>
    <w:rsid w:val="3BA64AD4"/>
    <w:rsid w:val="40250618"/>
    <w:rsid w:val="44254A04"/>
    <w:rsid w:val="44D77FA3"/>
    <w:rsid w:val="45255333"/>
    <w:rsid w:val="4C3D3531"/>
    <w:rsid w:val="50DD4C9F"/>
    <w:rsid w:val="56EE395B"/>
    <w:rsid w:val="593E6D79"/>
    <w:rsid w:val="598A113A"/>
    <w:rsid w:val="5DFC012C"/>
    <w:rsid w:val="655C3434"/>
    <w:rsid w:val="667D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3587</Words>
  <Characters>3688</Characters>
  <Lines>0</Lines>
  <Paragraphs>0</Paragraphs>
  <TotalTime>16</TotalTime>
  <ScaleCrop>false</ScaleCrop>
  <LinksUpToDate>false</LinksUpToDate>
  <CharactersWithSpaces>3851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2025-09-01T01:59:00Z</dcterms:created>
  <dc:creator>Administrator</dc:creator>
  <cp:lastModifiedBy>WPS_1639738608</cp:lastModifiedBy>
  <cp:lastPrinted>2025-09-08T00:20:00Z</cp:lastPrinted>
  <dcterms:modified xsi:type="dcterms:W3CDTF">2025-09-25T08:43:10Z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eyJoZGlkIjoiNmJkN2ZjNGE1MjNlYjhmZWQ0YWEyZTlmMDY4ZWIwMjQiLCJ1c2VySWQiOiIxMzAyNDY0NTkxIn0=</vt:lpwstr>
  </property>
  <property fmtid="{D5CDD505-2E9C-101B-9397-08002B2CF9AE}" pid="4" name="ICV">
    <vt:lpwstr>0F35DC2666114609B9B38FD19A3A85E9_13</vt:lpwstr>
  </property>
</Properties>
</file>