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4" Type="http://schemas.openxmlformats.org/officeDocument/2006/relationships/officeDocument" Target="word/document.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rPr>
          <w:rFonts w:ascii="方正小标宋简体" w:hAnsi="仿宋" w:eastAsia="方正小标宋简体"/>
          <w:sz w:val="44"/>
          <w:szCs w:val="44"/>
        </w:rPr>
      </w:pPr>
      <w:bookmarkStart w:id="0" w:name="_GoBack"/>
      <w:bookmarkEnd w:id="0"/>
      <w:r>
        <w:rPr>
          <w:rFonts w:hint="eastAsia" w:ascii="方正小标宋简体" w:hAnsi="仿宋" w:eastAsia="方正小标宋简体"/>
          <w:sz w:val="44"/>
          <w:szCs w:val="44"/>
        </w:rPr>
        <w:t>2017年度新罗区安全生产监督管理局</w:t>
      </w:r>
    </w:p>
    <w:p>
      <w:pPr>
        <w:jc w:val="center"/>
        <w:rPr>
          <w:rFonts w:ascii="方正小标宋简体" w:hAnsi="仿宋" w:eastAsia="方正小标宋简体"/>
          <w:sz w:val="44"/>
          <w:szCs w:val="44"/>
        </w:rPr>
      </w:pPr>
      <w:r>
        <w:rPr>
          <w:rFonts w:hint="eastAsia" w:ascii="方正小标宋简体" w:hAnsi="仿宋" w:eastAsia="方正小标宋简体"/>
          <w:sz w:val="44"/>
          <w:szCs w:val="44"/>
        </w:rPr>
        <w:t>决算说明</w:t>
      </w:r>
    </w:p>
    <w:p>
      <w:pPr>
        <w:spacing w:line="240" w:lineRule="exact"/>
        <w:ind w:firstLine="640" w:firstLineChars="200"/>
        <w:rPr>
          <w:rFonts w:ascii="仿宋" w:hAnsi="仿宋" w:eastAsia="仿宋"/>
          <w:sz w:val="32"/>
          <w:szCs w:val="32"/>
        </w:rPr>
      </w:pPr>
    </w:p>
    <w:p>
      <w:pPr>
        <w:spacing w:line="600" w:lineRule="exact"/>
        <w:ind w:firstLine="640" w:firstLineChars="200"/>
        <w:rPr>
          <w:rFonts w:ascii="仿宋" w:hAnsi="仿宋" w:eastAsia="仿宋"/>
          <w:sz w:val="32"/>
          <w:szCs w:val="32"/>
        </w:rPr>
      </w:pPr>
      <w:r>
        <w:rPr>
          <w:rFonts w:hint="eastAsia" w:ascii="仿宋" w:hAnsi="仿宋" w:eastAsia="仿宋"/>
          <w:sz w:val="32"/>
          <w:szCs w:val="32"/>
        </w:rPr>
        <w:t>按照《龙岩市新罗区财政局关于批复</w:t>
      </w:r>
      <w:r>
        <w:rPr>
          <w:rFonts w:hint="eastAsia" w:ascii="仿宋" w:hAnsi="仿宋" w:eastAsia="仿宋" w:cs="仿宋_GB2312"/>
          <w:sz w:val="32"/>
          <w:szCs w:val="32"/>
        </w:rPr>
        <w:t>龙岩市新罗区安全生产监督管理局</w:t>
      </w:r>
      <w:r>
        <w:rPr>
          <w:rFonts w:hint="eastAsia" w:ascii="仿宋" w:hAnsi="仿宋" w:eastAsia="仿宋"/>
          <w:sz w:val="32"/>
          <w:szCs w:val="32"/>
        </w:rPr>
        <w:t>2017年度部门决算的通知》（龙新财综决批[2018]02号）的要求，现将我单位2017年度部门决算说明如下</w:t>
      </w:r>
      <w:r>
        <w:rPr>
          <w:rFonts w:ascii="仿宋" w:hAnsi="仿宋" w:eastAsia="仿宋"/>
          <w:sz w:val="32"/>
          <w:szCs w:val="32"/>
        </w:rPr>
        <w:t>:</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一、部门主要职责</w:t>
      </w:r>
    </w:p>
    <w:p>
      <w:pPr>
        <w:autoSpaceDN w:val="0"/>
        <w:spacing w:line="600" w:lineRule="atLeast"/>
        <w:ind w:firstLine="640"/>
        <w:rPr>
          <w:rFonts w:ascii="仿宋" w:hAnsi="仿宋" w:eastAsia="仿宋" w:cs="仿宋"/>
          <w:sz w:val="20"/>
        </w:rPr>
      </w:pPr>
      <w:r>
        <w:rPr>
          <w:rFonts w:hint="eastAsia" w:ascii="仿宋" w:hAnsi="仿宋" w:eastAsia="仿宋" w:cs="仿宋"/>
          <w:sz w:val="32"/>
        </w:rPr>
        <w:t>新罗区安监局的主要职责是：贯彻执行国家、省、市有关安全生产的方针政策和法律法规，起草并组织实施我区安全生产相关政策；拟订全区安全生产工作规划，指导协调全区安全生产工作；分析和预测全区安全生产形势，发布全区安全生产信息；协调解决安全生产中的重大问题。负责全区安全生产综合监督管理，指导协调、监督检查区政府有关部门和各镇人民政府、街道办事处安全生产工作，监督考核并通报安全生产责任目标执行情况。依法负责危险化学品、尾矿库、冶金等企业的安全生产监督管理工作，会同区矿产品管理总站承担全区非煤矿山企业安全监督管理,负责有关作业场所职业卫生的监督管理工作。</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二、部门决算单位基本情况</w:t>
      </w:r>
    </w:p>
    <w:p>
      <w:pPr>
        <w:tabs>
          <w:tab w:val="left" w:pos="7513"/>
        </w:tabs>
        <w:adjustRightInd w:val="0"/>
        <w:snapToGrid w:val="0"/>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从决算单位构成看，新罗区安监局包括5个股室及4个下属事业单位，其中：列入2017年部门决算编制范围的单位详细情况见下表:</w:t>
      </w:r>
    </w:p>
    <w:tbl>
      <w:tblPr>
        <w:tblW w:w="8522" w:type="dxa"/>
        <w:jc w:val="center"/>
        <w:tblInd w:w="156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316"/>
        <w:gridCol w:w="1695"/>
        <w:gridCol w:w="1890"/>
        <w:gridCol w:w="1621"/>
      </w:tblGrid>
      <w:tr>
        <w:trPr>
          <w:trHeight w:val="664" w:hRule="atLeast"/>
          <w:jc w:val="center"/>
        </w:trPr>
        <w:tc>
          <w:tcPr>
            <w:tcW w:w="331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utoSpaceDN w:val="0"/>
              <w:spacing w:line="600" w:lineRule="atLeast"/>
              <w:jc w:val="center"/>
              <w:rPr>
                <w:rFonts w:ascii="仿宋" w:hAnsi="仿宋" w:eastAsia="仿宋" w:cs="仿宋"/>
                <w:sz w:val="32"/>
                <w:szCs w:val="32"/>
              </w:rPr>
            </w:pPr>
            <w:r>
              <w:rPr>
                <w:rFonts w:hint="eastAsia" w:ascii="仿宋" w:hAnsi="仿宋" w:eastAsia="仿宋" w:cs="仿宋"/>
                <w:sz w:val="32"/>
                <w:szCs w:val="32"/>
              </w:rPr>
              <w:t>单位名称</w:t>
            </w:r>
          </w:p>
        </w:tc>
        <w:tc>
          <w:tcPr>
            <w:tcW w:w="1695" w:type="dxa"/>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pPr>
              <w:autoSpaceDN w:val="0"/>
              <w:spacing w:line="600" w:lineRule="atLeast"/>
              <w:jc w:val="center"/>
              <w:rPr>
                <w:rFonts w:ascii="仿宋" w:hAnsi="仿宋" w:eastAsia="仿宋" w:cs="仿宋"/>
                <w:sz w:val="32"/>
                <w:szCs w:val="32"/>
              </w:rPr>
            </w:pPr>
            <w:r>
              <w:rPr>
                <w:rFonts w:hint="eastAsia" w:ascii="仿宋" w:hAnsi="仿宋" w:eastAsia="仿宋" w:cs="仿宋"/>
                <w:sz w:val="32"/>
                <w:szCs w:val="32"/>
              </w:rPr>
              <w:t>经费性质</w:t>
            </w:r>
          </w:p>
        </w:tc>
        <w:tc>
          <w:tcPr>
            <w:tcW w:w="1890" w:type="dxa"/>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pPr>
              <w:autoSpaceDN w:val="0"/>
              <w:spacing w:line="600" w:lineRule="atLeast"/>
              <w:jc w:val="center"/>
              <w:rPr>
                <w:rFonts w:ascii="仿宋" w:hAnsi="仿宋" w:eastAsia="仿宋" w:cs="仿宋"/>
                <w:sz w:val="32"/>
                <w:szCs w:val="32"/>
              </w:rPr>
            </w:pPr>
            <w:r>
              <w:rPr>
                <w:rFonts w:hint="eastAsia" w:ascii="仿宋" w:hAnsi="仿宋" w:eastAsia="仿宋" w:cs="仿宋"/>
                <w:sz w:val="32"/>
                <w:szCs w:val="32"/>
              </w:rPr>
              <w:t>人员编制数</w:t>
            </w:r>
          </w:p>
        </w:tc>
        <w:tc>
          <w:tcPr>
            <w:tcW w:w="1621" w:type="dxa"/>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pPr>
              <w:autoSpaceDN w:val="0"/>
              <w:spacing w:line="600" w:lineRule="atLeast"/>
              <w:jc w:val="center"/>
              <w:rPr>
                <w:rFonts w:ascii="仿宋" w:hAnsi="仿宋" w:eastAsia="仿宋" w:cs="仿宋"/>
                <w:sz w:val="32"/>
                <w:szCs w:val="32"/>
              </w:rPr>
            </w:pPr>
            <w:r>
              <w:rPr>
                <w:rFonts w:hint="eastAsia" w:ascii="仿宋" w:hAnsi="仿宋" w:eastAsia="仿宋" w:cs="仿宋"/>
                <w:sz w:val="32"/>
                <w:szCs w:val="32"/>
              </w:rPr>
              <w:t>在职人数</w:t>
            </w:r>
          </w:p>
        </w:tc>
      </w:tr>
      <w:tr>
        <w:trPr>
          <w:jc w:val="center"/>
        </w:trPr>
        <w:tc>
          <w:tcPr>
            <w:tcW w:w="331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utoSpaceDN w:val="0"/>
              <w:spacing w:line="600" w:lineRule="atLeast"/>
              <w:jc w:val="left"/>
              <w:rPr>
                <w:rFonts w:ascii="仿宋" w:hAnsi="仿宋" w:eastAsia="仿宋" w:cs="仿宋"/>
                <w:sz w:val="28"/>
                <w:szCs w:val="28"/>
              </w:rPr>
            </w:pPr>
            <w:r>
              <w:rPr>
                <w:rFonts w:hint="eastAsia" w:ascii="仿宋" w:hAnsi="仿宋" w:eastAsia="仿宋" w:cs="仿宋"/>
                <w:sz w:val="28"/>
                <w:szCs w:val="28"/>
              </w:rPr>
              <w:t>新罗区安监局</w:t>
            </w:r>
          </w:p>
        </w:tc>
        <w:tc>
          <w:tcPr>
            <w:tcW w:w="1695" w:type="dxa"/>
            <w:tcBorders>
              <w:top w:val="single" w:color="000000" w:sz="4" w:space="0"/>
              <w:left w:val="nil"/>
              <w:bottom w:val="single" w:color="000000" w:sz="4" w:space="0"/>
              <w:right w:val="single" w:color="000000" w:sz="4" w:space="0"/>
            </w:tcBorders>
            <w:tcMar>
              <w:top w:w="0" w:type="dxa"/>
              <w:left w:w="108" w:type="dxa"/>
              <w:bottom w:w="0" w:type="dxa"/>
              <w:right w:w="108" w:type="dxa"/>
            </w:tcMar>
            <w:vAlign w:val="top"/>
          </w:tcPr>
          <w:p>
            <w:pPr>
              <w:autoSpaceDN w:val="0"/>
              <w:spacing w:line="600" w:lineRule="atLeast"/>
              <w:rPr>
                <w:rFonts w:ascii="仿宋" w:hAnsi="仿宋" w:eastAsia="仿宋" w:cs="仿宋"/>
                <w:sz w:val="28"/>
                <w:szCs w:val="28"/>
              </w:rPr>
            </w:pPr>
            <w:r>
              <w:rPr>
                <w:rFonts w:hint="eastAsia" w:ascii="仿宋" w:hAnsi="仿宋" w:eastAsia="仿宋" w:cs="仿宋"/>
                <w:sz w:val="28"/>
                <w:szCs w:val="28"/>
              </w:rPr>
              <w:t xml:space="preserve">  财政核拨</w:t>
            </w:r>
          </w:p>
        </w:tc>
        <w:tc>
          <w:tcPr>
            <w:tcW w:w="1890" w:type="dxa"/>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pPr>
              <w:autoSpaceDN w:val="0"/>
              <w:spacing w:line="600" w:lineRule="atLeast"/>
              <w:ind w:firstLine="640"/>
              <w:rPr>
                <w:rFonts w:ascii="仿宋" w:hAnsi="仿宋" w:eastAsia="仿宋" w:cs="仿宋"/>
                <w:sz w:val="30"/>
                <w:szCs w:val="30"/>
              </w:rPr>
            </w:pPr>
            <w:r>
              <w:rPr>
                <w:rFonts w:hint="eastAsia" w:ascii="仿宋" w:hAnsi="仿宋" w:eastAsia="仿宋" w:cs="仿宋"/>
                <w:sz w:val="30"/>
                <w:szCs w:val="30"/>
              </w:rPr>
              <w:t xml:space="preserve"> 4</w:t>
            </w:r>
          </w:p>
        </w:tc>
        <w:tc>
          <w:tcPr>
            <w:tcW w:w="1621" w:type="dxa"/>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pPr>
              <w:autoSpaceDN w:val="0"/>
              <w:spacing w:line="600" w:lineRule="atLeast"/>
              <w:ind w:firstLine="640"/>
              <w:rPr>
                <w:rFonts w:ascii="仿宋" w:hAnsi="仿宋" w:eastAsia="仿宋" w:cs="仿宋"/>
                <w:sz w:val="30"/>
                <w:szCs w:val="30"/>
              </w:rPr>
            </w:pPr>
            <w:r>
              <w:rPr>
                <w:rFonts w:hint="eastAsia" w:ascii="仿宋" w:hAnsi="仿宋" w:eastAsia="仿宋" w:cs="仿宋"/>
                <w:sz w:val="30"/>
                <w:szCs w:val="30"/>
              </w:rPr>
              <w:t>7</w:t>
            </w:r>
          </w:p>
        </w:tc>
      </w:tr>
      <w:tr>
        <w:trPr>
          <w:jc w:val="center"/>
        </w:trPr>
        <w:tc>
          <w:tcPr>
            <w:tcW w:w="331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utoSpaceDN w:val="0"/>
              <w:spacing w:line="600" w:lineRule="atLeast"/>
              <w:jc w:val="left"/>
              <w:rPr>
                <w:rFonts w:ascii="仿宋" w:hAnsi="仿宋" w:eastAsia="仿宋" w:cs="仿宋"/>
                <w:sz w:val="28"/>
                <w:szCs w:val="28"/>
              </w:rPr>
            </w:pPr>
            <w:r>
              <w:rPr>
                <w:rFonts w:hint="eastAsia" w:ascii="仿宋" w:hAnsi="仿宋" w:eastAsia="仿宋" w:cs="仿宋"/>
                <w:sz w:val="28"/>
                <w:szCs w:val="28"/>
              </w:rPr>
              <w:t>区安全生产执法大队</w:t>
            </w:r>
          </w:p>
        </w:tc>
        <w:tc>
          <w:tcPr>
            <w:tcW w:w="1695" w:type="dxa"/>
            <w:tcBorders>
              <w:top w:val="single" w:color="000000" w:sz="4" w:space="0"/>
              <w:left w:val="nil"/>
              <w:bottom w:val="single" w:color="000000" w:sz="4" w:space="0"/>
              <w:right w:val="single" w:color="000000" w:sz="4" w:space="0"/>
            </w:tcBorders>
            <w:tcMar>
              <w:top w:w="0" w:type="dxa"/>
              <w:left w:w="108" w:type="dxa"/>
              <w:bottom w:w="0" w:type="dxa"/>
              <w:right w:w="108" w:type="dxa"/>
            </w:tcMar>
            <w:vAlign w:val="top"/>
          </w:tcPr>
          <w:p>
            <w:pPr>
              <w:autoSpaceDN w:val="0"/>
              <w:spacing w:line="600" w:lineRule="atLeast"/>
              <w:rPr>
                <w:rFonts w:ascii="仿宋" w:hAnsi="仿宋" w:eastAsia="仿宋" w:cs="仿宋"/>
                <w:sz w:val="28"/>
                <w:szCs w:val="28"/>
              </w:rPr>
            </w:pPr>
            <w:r>
              <w:rPr>
                <w:rFonts w:hint="eastAsia" w:ascii="仿宋" w:hAnsi="仿宋" w:eastAsia="仿宋" w:cs="仿宋"/>
                <w:sz w:val="28"/>
                <w:szCs w:val="28"/>
              </w:rPr>
              <w:t xml:space="preserve">  财政核拨</w:t>
            </w:r>
          </w:p>
        </w:tc>
        <w:tc>
          <w:tcPr>
            <w:tcW w:w="1890" w:type="dxa"/>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pPr>
              <w:autoSpaceDN w:val="0"/>
              <w:spacing w:line="600" w:lineRule="atLeast"/>
              <w:ind w:firstLine="640"/>
              <w:rPr>
                <w:rFonts w:ascii="仿宋" w:hAnsi="仿宋" w:eastAsia="仿宋" w:cs="仿宋"/>
                <w:sz w:val="30"/>
                <w:szCs w:val="30"/>
              </w:rPr>
            </w:pPr>
            <w:r>
              <w:rPr>
                <w:rFonts w:hint="eastAsia" w:ascii="仿宋" w:hAnsi="仿宋" w:eastAsia="仿宋" w:cs="仿宋"/>
                <w:sz w:val="30"/>
                <w:szCs w:val="30"/>
              </w:rPr>
              <w:t xml:space="preserve"> 10</w:t>
            </w:r>
          </w:p>
        </w:tc>
        <w:tc>
          <w:tcPr>
            <w:tcW w:w="1621" w:type="dxa"/>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pPr>
              <w:autoSpaceDN w:val="0"/>
              <w:spacing w:line="600" w:lineRule="atLeast"/>
              <w:ind w:firstLine="640"/>
              <w:rPr>
                <w:rFonts w:ascii="仿宋" w:hAnsi="仿宋" w:eastAsia="仿宋" w:cs="仿宋"/>
                <w:sz w:val="30"/>
                <w:szCs w:val="30"/>
              </w:rPr>
            </w:pPr>
            <w:r>
              <w:rPr>
                <w:rFonts w:hint="eastAsia" w:ascii="仿宋" w:hAnsi="仿宋" w:eastAsia="仿宋" w:cs="仿宋"/>
                <w:sz w:val="30"/>
                <w:szCs w:val="30"/>
              </w:rPr>
              <w:t>8</w:t>
            </w:r>
          </w:p>
        </w:tc>
      </w:tr>
      <w:tr>
        <w:trPr>
          <w:jc w:val="center"/>
        </w:trPr>
        <w:tc>
          <w:tcPr>
            <w:tcW w:w="331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utoSpaceDN w:val="0"/>
              <w:spacing w:line="600" w:lineRule="atLeast"/>
              <w:jc w:val="left"/>
              <w:rPr>
                <w:rFonts w:ascii="仿宋" w:hAnsi="仿宋" w:eastAsia="仿宋" w:cs="仿宋"/>
                <w:sz w:val="28"/>
                <w:szCs w:val="28"/>
              </w:rPr>
            </w:pPr>
            <w:r>
              <w:rPr>
                <w:rFonts w:hint="eastAsia" w:ascii="仿宋" w:hAnsi="仿宋" w:eastAsia="仿宋" w:cs="仿宋"/>
                <w:sz w:val="28"/>
                <w:szCs w:val="28"/>
              </w:rPr>
              <w:t>区安全生产应急救援中心</w:t>
            </w:r>
          </w:p>
        </w:tc>
        <w:tc>
          <w:tcPr>
            <w:tcW w:w="1695" w:type="dxa"/>
            <w:tcBorders>
              <w:top w:val="single" w:color="000000" w:sz="4" w:space="0"/>
              <w:left w:val="nil"/>
              <w:bottom w:val="single" w:color="000000" w:sz="4" w:space="0"/>
              <w:right w:val="single" w:color="000000" w:sz="4" w:space="0"/>
            </w:tcBorders>
            <w:tcMar>
              <w:top w:w="0" w:type="dxa"/>
              <w:left w:w="108" w:type="dxa"/>
              <w:bottom w:w="0" w:type="dxa"/>
              <w:right w:w="108" w:type="dxa"/>
            </w:tcMar>
            <w:vAlign w:val="top"/>
          </w:tcPr>
          <w:p>
            <w:pPr>
              <w:autoSpaceDN w:val="0"/>
              <w:spacing w:line="600" w:lineRule="atLeast"/>
              <w:rPr>
                <w:rFonts w:ascii="仿宋" w:hAnsi="仿宋" w:eastAsia="仿宋" w:cs="仿宋"/>
                <w:sz w:val="28"/>
                <w:szCs w:val="28"/>
              </w:rPr>
            </w:pPr>
            <w:r>
              <w:rPr>
                <w:rFonts w:hint="eastAsia" w:ascii="仿宋" w:hAnsi="仿宋" w:eastAsia="仿宋" w:cs="仿宋"/>
                <w:sz w:val="28"/>
                <w:szCs w:val="28"/>
              </w:rPr>
              <w:t xml:space="preserve">  财政核拨</w:t>
            </w:r>
          </w:p>
        </w:tc>
        <w:tc>
          <w:tcPr>
            <w:tcW w:w="1890" w:type="dxa"/>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pPr>
              <w:autoSpaceDN w:val="0"/>
              <w:spacing w:line="600" w:lineRule="atLeast"/>
              <w:ind w:firstLine="640"/>
              <w:rPr>
                <w:rFonts w:ascii="仿宋" w:hAnsi="仿宋" w:eastAsia="仿宋" w:cs="仿宋"/>
                <w:sz w:val="30"/>
                <w:szCs w:val="30"/>
              </w:rPr>
            </w:pPr>
            <w:r>
              <w:rPr>
                <w:rFonts w:hint="eastAsia" w:ascii="仿宋" w:hAnsi="仿宋" w:eastAsia="仿宋" w:cs="仿宋"/>
                <w:sz w:val="30"/>
                <w:szCs w:val="30"/>
              </w:rPr>
              <w:t xml:space="preserve"> 9</w:t>
            </w:r>
          </w:p>
        </w:tc>
        <w:tc>
          <w:tcPr>
            <w:tcW w:w="1621" w:type="dxa"/>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pPr>
              <w:autoSpaceDN w:val="0"/>
              <w:spacing w:line="600" w:lineRule="atLeast"/>
              <w:ind w:firstLine="640"/>
              <w:rPr>
                <w:rFonts w:ascii="仿宋" w:hAnsi="仿宋" w:eastAsia="仿宋" w:cs="仿宋"/>
                <w:sz w:val="30"/>
                <w:szCs w:val="30"/>
              </w:rPr>
            </w:pPr>
            <w:r>
              <w:rPr>
                <w:rFonts w:hint="eastAsia" w:ascii="仿宋" w:hAnsi="仿宋" w:eastAsia="仿宋" w:cs="仿宋"/>
                <w:sz w:val="30"/>
                <w:szCs w:val="30"/>
              </w:rPr>
              <w:t>8</w:t>
            </w:r>
          </w:p>
        </w:tc>
      </w:tr>
      <w:tr>
        <w:trPr>
          <w:jc w:val="center"/>
        </w:trPr>
        <w:tc>
          <w:tcPr>
            <w:tcW w:w="331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utoSpaceDN w:val="0"/>
              <w:spacing w:line="600" w:lineRule="atLeast"/>
              <w:jc w:val="left"/>
              <w:rPr>
                <w:rFonts w:ascii="仿宋" w:hAnsi="仿宋" w:eastAsia="仿宋" w:cs="仿宋"/>
                <w:sz w:val="28"/>
                <w:szCs w:val="28"/>
              </w:rPr>
            </w:pPr>
            <w:r>
              <w:rPr>
                <w:rFonts w:hint="eastAsia" w:ascii="仿宋" w:hAnsi="仿宋" w:eastAsia="仿宋" w:cs="仿宋"/>
                <w:sz w:val="28"/>
                <w:szCs w:val="28"/>
              </w:rPr>
              <w:t>区安全生产宣传教育中心</w:t>
            </w:r>
          </w:p>
        </w:tc>
        <w:tc>
          <w:tcPr>
            <w:tcW w:w="1695" w:type="dxa"/>
            <w:tcBorders>
              <w:top w:val="single" w:color="000000" w:sz="4" w:space="0"/>
              <w:left w:val="nil"/>
              <w:bottom w:val="single" w:color="000000" w:sz="4" w:space="0"/>
              <w:right w:val="single" w:color="000000" w:sz="4" w:space="0"/>
            </w:tcBorders>
            <w:tcMar>
              <w:top w:w="0" w:type="dxa"/>
              <w:left w:w="108" w:type="dxa"/>
              <w:bottom w:w="0" w:type="dxa"/>
              <w:right w:w="108" w:type="dxa"/>
            </w:tcMar>
            <w:vAlign w:val="top"/>
          </w:tcPr>
          <w:p>
            <w:pPr>
              <w:autoSpaceDN w:val="0"/>
              <w:spacing w:line="600" w:lineRule="atLeast"/>
              <w:rPr>
                <w:rFonts w:ascii="仿宋" w:hAnsi="仿宋" w:eastAsia="仿宋" w:cs="仿宋"/>
                <w:sz w:val="28"/>
                <w:szCs w:val="28"/>
              </w:rPr>
            </w:pPr>
            <w:r>
              <w:rPr>
                <w:rFonts w:hint="eastAsia" w:ascii="仿宋" w:hAnsi="仿宋" w:eastAsia="仿宋" w:cs="仿宋"/>
                <w:sz w:val="28"/>
                <w:szCs w:val="28"/>
              </w:rPr>
              <w:t xml:space="preserve">  财政核拨</w:t>
            </w:r>
          </w:p>
        </w:tc>
        <w:tc>
          <w:tcPr>
            <w:tcW w:w="1890" w:type="dxa"/>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pPr>
              <w:autoSpaceDN w:val="0"/>
              <w:spacing w:line="600" w:lineRule="atLeast"/>
              <w:ind w:firstLine="640"/>
              <w:rPr>
                <w:rFonts w:ascii="仿宋" w:hAnsi="仿宋" w:eastAsia="仿宋" w:cs="仿宋"/>
                <w:sz w:val="30"/>
                <w:szCs w:val="30"/>
              </w:rPr>
            </w:pPr>
            <w:r>
              <w:rPr>
                <w:rFonts w:hint="eastAsia" w:ascii="仿宋" w:hAnsi="仿宋" w:eastAsia="仿宋" w:cs="仿宋"/>
                <w:sz w:val="30"/>
                <w:szCs w:val="30"/>
              </w:rPr>
              <w:t xml:space="preserve"> 2</w:t>
            </w:r>
          </w:p>
        </w:tc>
        <w:tc>
          <w:tcPr>
            <w:tcW w:w="1621" w:type="dxa"/>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pPr>
              <w:autoSpaceDN w:val="0"/>
              <w:spacing w:line="600" w:lineRule="atLeast"/>
              <w:ind w:firstLine="640"/>
              <w:rPr>
                <w:rFonts w:ascii="仿宋" w:hAnsi="仿宋" w:eastAsia="仿宋" w:cs="仿宋"/>
                <w:sz w:val="30"/>
                <w:szCs w:val="30"/>
              </w:rPr>
            </w:pPr>
            <w:r>
              <w:rPr>
                <w:rFonts w:hint="eastAsia" w:ascii="仿宋" w:hAnsi="仿宋" w:eastAsia="仿宋" w:cs="仿宋"/>
                <w:sz w:val="30"/>
                <w:szCs w:val="30"/>
              </w:rPr>
              <w:t>2</w:t>
            </w:r>
          </w:p>
        </w:tc>
      </w:tr>
      <w:tr>
        <w:trPr>
          <w:jc w:val="center"/>
        </w:trPr>
        <w:tc>
          <w:tcPr>
            <w:tcW w:w="331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utoSpaceDN w:val="0"/>
              <w:spacing w:line="600" w:lineRule="atLeast"/>
              <w:jc w:val="left"/>
              <w:rPr>
                <w:rFonts w:ascii="仿宋" w:hAnsi="仿宋" w:eastAsia="仿宋" w:cs="仿宋"/>
                <w:sz w:val="28"/>
                <w:szCs w:val="28"/>
              </w:rPr>
            </w:pPr>
            <w:r>
              <w:rPr>
                <w:rFonts w:hint="eastAsia" w:ascii="仿宋" w:hAnsi="仿宋" w:eastAsia="仿宋" w:cs="仿宋"/>
                <w:sz w:val="28"/>
                <w:szCs w:val="28"/>
              </w:rPr>
              <w:t>区危险源监控中心</w:t>
            </w:r>
          </w:p>
        </w:tc>
        <w:tc>
          <w:tcPr>
            <w:tcW w:w="1695" w:type="dxa"/>
            <w:tcBorders>
              <w:top w:val="single" w:color="000000" w:sz="4" w:space="0"/>
              <w:left w:val="nil"/>
              <w:bottom w:val="single" w:color="000000" w:sz="4" w:space="0"/>
              <w:right w:val="single" w:color="000000" w:sz="4" w:space="0"/>
            </w:tcBorders>
            <w:tcMar>
              <w:top w:w="0" w:type="dxa"/>
              <w:left w:w="108" w:type="dxa"/>
              <w:bottom w:w="0" w:type="dxa"/>
              <w:right w:w="108" w:type="dxa"/>
            </w:tcMar>
            <w:vAlign w:val="top"/>
          </w:tcPr>
          <w:p>
            <w:pPr>
              <w:autoSpaceDN w:val="0"/>
              <w:spacing w:line="600" w:lineRule="atLeast"/>
              <w:rPr>
                <w:rFonts w:ascii="仿宋" w:hAnsi="仿宋" w:eastAsia="仿宋" w:cs="仿宋"/>
                <w:sz w:val="28"/>
                <w:szCs w:val="28"/>
              </w:rPr>
            </w:pPr>
            <w:r>
              <w:rPr>
                <w:rFonts w:hint="eastAsia" w:ascii="仿宋" w:hAnsi="仿宋" w:eastAsia="仿宋" w:cs="仿宋"/>
                <w:sz w:val="28"/>
                <w:szCs w:val="28"/>
              </w:rPr>
              <w:t xml:space="preserve">  财政核拨</w:t>
            </w:r>
          </w:p>
        </w:tc>
        <w:tc>
          <w:tcPr>
            <w:tcW w:w="1890" w:type="dxa"/>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pPr>
              <w:autoSpaceDN w:val="0"/>
              <w:spacing w:line="600" w:lineRule="atLeast"/>
              <w:ind w:firstLine="640"/>
              <w:rPr>
                <w:rFonts w:ascii="仿宋" w:hAnsi="仿宋" w:eastAsia="仿宋" w:cs="仿宋"/>
                <w:sz w:val="30"/>
                <w:szCs w:val="30"/>
              </w:rPr>
            </w:pPr>
            <w:r>
              <w:rPr>
                <w:rFonts w:hint="eastAsia" w:ascii="仿宋" w:hAnsi="仿宋" w:eastAsia="仿宋" w:cs="仿宋"/>
                <w:sz w:val="30"/>
                <w:szCs w:val="30"/>
              </w:rPr>
              <w:t xml:space="preserve"> 3</w:t>
            </w:r>
          </w:p>
        </w:tc>
        <w:tc>
          <w:tcPr>
            <w:tcW w:w="1621" w:type="dxa"/>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pPr>
              <w:autoSpaceDN w:val="0"/>
              <w:spacing w:line="600" w:lineRule="atLeast"/>
              <w:ind w:firstLine="640"/>
              <w:rPr>
                <w:rFonts w:ascii="仿宋" w:hAnsi="仿宋" w:eastAsia="仿宋" w:cs="仿宋"/>
                <w:sz w:val="30"/>
                <w:szCs w:val="30"/>
              </w:rPr>
            </w:pPr>
            <w:r>
              <w:rPr>
                <w:rFonts w:hint="eastAsia" w:ascii="仿宋" w:hAnsi="仿宋" w:eastAsia="仿宋" w:cs="仿宋"/>
                <w:sz w:val="30"/>
                <w:szCs w:val="30"/>
              </w:rPr>
              <w:t>2</w:t>
            </w:r>
          </w:p>
        </w:tc>
      </w:tr>
    </w:tbl>
    <w:p>
      <w:pPr>
        <w:spacing w:line="600" w:lineRule="exact"/>
        <w:ind w:firstLine="640" w:firstLineChars="200"/>
        <w:rPr>
          <w:rFonts w:ascii="黑体" w:hAnsi="黑体" w:eastAsia="黑体"/>
          <w:sz w:val="32"/>
          <w:szCs w:val="32"/>
        </w:rPr>
      </w:pPr>
      <w:r>
        <w:rPr>
          <w:rFonts w:hint="eastAsia" w:ascii="黑体" w:hAnsi="黑体" w:eastAsia="黑体"/>
          <w:sz w:val="32"/>
          <w:szCs w:val="32"/>
        </w:rPr>
        <w:t>三、部门主要工作总结</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2017年，区安监局主要任务是：认真贯彻国家、省、市各项安全生产工作部署，进一步落实《地方党政领导干部安全生产责任制规定》、“党政同责、一岗双责”和“三个必须”要求，深入开展第13个百日安全活动、安全生产大检查、安全生产专项执法等各类整治行动，突出抓好安全生产专项整治，推进全区安全生产形势总体稳定。围绕上述任务，重点完成了以下工作：</w:t>
      </w:r>
    </w:p>
    <w:p>
      <w:pPr>
        <w:autoSpaceDN w:val="0"/>
        <w:spacing w:line="600" w:lineRule="atLeast"/>
        <w:ind w:firstLine="640"/>
        <w:rPr>
          <w:rFonts w:ascii="仿宋" w:hAnsi="仿宋" w:eastAsia="仿宋" w:cs="仿宋"/>
          <w:sz w:val="20"/>
        </w:rPr>
      </w:pPr>
      <w:r>
        <w:rPr>
          <w:rFonts w:hint="eastAsia" w:ascii="仿宋" w:hAnsi="仿宋" w:eastAsia="仿宋" w:cs="仿宋"/>
          <w:sz w:val="32"/>
        </w:rPr>
        <w:t>（一）强抓机制体制，力促安全责任落实</w:t>
      </w:r>
    </w:p>
    <w:p>
      <w:pPr>
        <w:autoSpaceDN w:val="0"/>
        <w:spacing w:line="600" w:lineRule="atLeast"/>
        <w:ind w:firstLine="640"/>
        <w:rPr>
          <w:rFonts w:ascii="仿宋" w:hAnsi="仿宋" w:eastAsia="仿宋" w:cs="仿宋"/>
          <w:sz w:val="20"/>
        </w:rPr>
      </w:pPr>
      <w:r>
        <w:rPr>
          <w:rFonts w:hint="eastAsia" w:ascii="仿宋" w:hAnsi="仿宋" w:eastAsia="仿宋" w:cs="仿宋"/>
          <w:sz w:val="32"/>
        </w:rPr>
        <w:t>（二）狠抓问题隐患，力促本质安全建设。</w:t>
      </w:r>
    </w:p>
    <w:p>
      <w:pPr>
        <w:autoSpaceDN w:val="0"/>
        <w:spacing w:line="600" w:lineRule="atLeast"/>
        <w:ind w:firstLine="640"/>
        <w:rPr>
          <w:rFonts w:ascii="仿宋" w:hAnsi="仿宋" w:eastAsia="仿宋" w:cs="仿宋"/>
          <w:sz w:val="20"/>
        </w:rPr>
      </w:pPr>
      <w:r>
        <w:rPr>
          <w:rFonts w:hint="eastAsia" w:ascii="仿宋" w:hAnsi="仿宋" w:eastAsia="仿宋" w:cs="仿宋"/>
          <w:sz w:val="32"/>
        </w:rPr>
        <w:t>（三）主抓监管执法，紧盯重点环节。</w:t>
      </w:r>
    </w:p>
    <w:p>
      <w:pPr>
        <w:autoSpaceDN w:val="0"/>
        <w:spacing w:line="600" w:lineRule="atLeast"/>
        <w:ind w:firstLine="640"/>
        <w:rPr>
          <w:rFonts w:ascii="仿宋" w:hAnsi="仿宋" w:eastAsia="仿宋" w:cs="仿宋"/>
          <w:sz w:val="20"/>
        </w:rPr>
      </w:pPr>
      <w:r>
        <w:rPr>
          <w:rFonts w:hint="eastAsia" w:ascii="仿宋" w:hAnsi="仿宋" w:eastAsia="仿宋" w:cs="仿宋"/>
          <w:sz w:val="32"/>
        </w:rPr>
        <w:t>（四）夯实基层基础，力促安全工作保障。</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四、</w:t>
      </w:r>
      <w:r>
        <w:rPr>
          <w:rFonts w:hint="eastAsia" w:ascii="仿宋" w:hAnsi="仿宋" w:eastAsia="仿宋"/>
          <w:sz w:val="32"/>
          <w:szCs w:val="32"/>
        </w:rPr>
        <w:t>2017</w:t>
      </w:r>
      <w:r>
        <w:rPr>
          <w:rFonts w:hint="eastAsia" w:ascii="黑体" w:hAnsi="黑体" w:eastAsia="黑体"/>
          <w:sz w:val="32"/>
          <w:szCs w:val="32"/>
        </w:rPr>
        <w:t>年决算收支总体情况</w:t>
      </w:r>
    </w:p>
    <w:p>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sz w:val="32"/>
          <w:szCs w:val="32"/>
        </w:rPr>
        <w:t>2017</w:t>
      </w:r>
      <w:r>
        <w:rPr>
          <w:rFonts w:hint="eastAsia" w:ascii="仿宋" w:hAnsi="仿宋" w:eastAsia="仿宋" w:cs="仿宋_GB2312"/>
          <w:sz w:val="32"/>
          <w:szCs w:val="32"/>
        </w:rPr>
        <w:t>年区安监局年初结转和结余171.81万元，本年收入416.8万元，本年支出476.09万元，事业基金弥补收支差额0万元，结余分配0万元，年末结转和结余112.51万元。</w:t>
      </w:r>
    </w:p>
    <w:p>
      <w:pPr>
        <w:autoSpaceDE w:val="0"/>
        <w:autoSpaceDN w:val="0"/>
        <w:adjustRightInd w:val="0"/>
        <w:spacing w:line="600" w:lineRule="exact"/>
        <w:ind w:firstLine="640" w:firstLineChars="200"/>
        <w:rPr>
          <w:rFonts w:ascii="仿宋" w:hAnsi="仿宋" w:eastAsia="仿宋" w:cs="Times New Roman"/>
          <w:sz w:val="32"/>
          <w:szCs w:val="32"/>
        </w:rPr>
      </w:pPr>
      <w:r>
        <w:rPr>
          <w:rFonts w:hint="eastAsia" w:ascii="仿宋" w:hAnsi="仿宋" w:eastAsia="仿宋" w:cs="仿宋_GB2312"/>
          <w:sz w:val="32"/>
          <w:szCs w:val="32"/>
        </w:rPr>
        <w:t>（一）2017年收入416.8万元，比2016年决算数减少56.79万元，减少12％</w:t>
      </w:r>
      <w:r>
        <w:rPr>
          <w:rFonts w:hint="eastAsia" w:ascii="仿宋" w:hAnsi="仿宋" w:eastAsia="仿宋"/>
          <w:sz w:val="32"/>
          <w:szCs w:val="32"/>
        </w:rPr>
        <w:t>，</w:t>
      </w:r>
      <w:r>
        <w:rPr>
          <w:rFonts w:hint="eastAsia" w:ascii="仿宋" w:hAnsi="仿宋" w:eastAsia="仿宋" w:cs="仿宋_GB2312"/>
          <w:sz w:val="32"/>
          <w:szCs w:val="32"/>
        </w:rPr>
        <w:t>具体情况如下：</w:t>
      </w:r>
    </w:p>
    <w:p>
      <w:pPr>
        <w:autoSpaceDE w:val="0"/>
        <w:autoSpaceDN w:val="0"/>
        <w:adjustRightInd w:val="0"/>
        <w:spacing w:line="600" w:lineRule="exact"/>
        <w:ind w:left="160" w:leftChars="76" w:firstLine="480" w:firstLineChars="150"/>
        <w:rPr>
          <w:rFonts w:ascii="仿宋" w:hAnsi="仿宋" w:eastAsia="仿宋"/>
          <w:sz w:val="32"/>
          <w:szCs w:val="32"/>
        </w:rPr>
      </w:pPr>
      <w:r>
        <w:rPr>
          <w:rFonts w:ascii="仿宋" w:hAnsi="仿宋" w:eastAsia="仿宋" w:cs="仿宋_GB2312"/>
          <w:sz w:val="32"/>
          <w:szCs w:val="32"/>
        </w:rPr>
        <w:t>1.财政拨款收入</w:t>
      </w:r>
      <w:r>
        <w:rPr>
          <w:rFonts w:hint="eastAsia" w:ascii="仿宋" w:hAnsi="仿宋" w:eastAsia="仿宋" w:cs="仿宋_GB2312"/>
          <w:sz w:val="32"/>
          <w:szCs w:val="32"/>
        </w:rPr>
        <w:t>384.66</w:t>
      </w:r>
      <w:r>
        <w:rPr>
          <w:rFonts w:ascii="仿宋" w:hAnsi="仿宋" w:eastAsia="仿宋" w:cs="仿宋_GB2312"/>
          <w:sz w:val="32"/>
          <w:szCs w:val="32"/>
        </w:rPr>
        <w:t>万元，其中政府性基金</w:t>
      </w:r>
      <w:r>
        <w:rPr>
          <w:rFonts w:hint="eastAsia" w:ascii="仿宋" w:hAnsi="仿宋" w:eastAsia="仿宋" w:cs="仿宋_GB2312"/>
          <w:sz w:val="32"/>
          <w:szCs w:val="32"/>
        </w:rPr>
        <w:t>0</w:t>
      </w:r>
      <w:r>
        <w:rPr>
          <w:rFonts w:ascii="仿宋" w:hAnsi="仿宋" w:eastAsia="仿宋" w:cs="仿宋_GB2312"/>
          <w:sz w:val="32"/>
          <w:szCs w:val="32"/>
        </w:rPr>
        <w:t>万元。</w:t>
      </w:r>
    </w:p>
    <w:p>
      <w:pPr>
        <w:autoSpaceDE w:val="0"/>
        <w:autoSpaceDN w:val="0"/>
        <w:adjustRightInd w:val="0"/>
        <w:spacing w:line="600" w:lineRule="exact"/>
        <w:ind w:firstLine="640" w:firstLineChars="200"/>
        <w:rPr>
          <w:rFonts w:ascii="仿宋" w:hAnsi="仿宋" w:eastAsia="仿宋"/>
          <w:sz w:val="32"/>
          <w:szCs w:val="32"/>
        </w:rPr>
      </w:pPr>
      <w:r>
        <w:rPr>
          <w:rFonts w:ascii="仿宋" w:hAnsi="仿宋" w:eastAsia="仿宋" w:cs="仿宋_GB2312"/>
          <w:sz w:val="32"/>
          <w:szCs w:val="32"/>
        </w:rPr>
        <w:t>2.事业收入</w:t>
      </w:r>
      <w:r>
        <w:rPr>
          <w:rFonts w:hint="eastAsia" w:ascii="仿宋" w:hAnsi="仿宋" w:eastAsia="仿宋" w:cs="仿宋_GB2312"/>
          <w:sz w:val="32"/>
          <w:szCs w:val="32"/>
        </w:rPr>
        <w:t>0万元。</w:t>
      </w:r>
    </w:p>
    <w:p>
      <w:pPr>
        <w:autoSpaceDE w:val="0"/>
        <w:autoSpaceDN w:val="0"/>
        <w:adjustRightInd w:val="0"/>
        <w:spacing w:line="600" w:lineRule="exact"/>
        <w:ind w:firstLine="640" w:firstLineChars="200"/>
        <w:rPr>
          <w:rFonts w:ascii="仿宋" w:hAnsi="仿宋" w:eastAsia="仿宋"/>
          <w:sz w:val="32"/>
          <w:szCs w:val="32"/>
        </w:rPr>
      </w:pPr>
      <w:r>
        <w:rPr>
          <w:rFonts w:ascii="仿宋" w:hAnsi="仿宋" w:eastAsia="仿宋" w:cs="仿宋_GB2312"/>
          <w:sz w:val="32"/>
          <w:szCs w:val="32"/>
        </w:rPr>
        <w:t>3.经营收入</w:t>
      </w:r>
      <w:r>
        <w:rPr>
          <w:rFonts w:hint="eastAsia" w:ascii="仿宋" w:hAnsi="仿宋" w:eastAsia="仿宋" w:cs="仿宋_GB2312"/>
          <w:sz w:val="32"/>
          <w:szCs w:val="32"/>
        </w:rPr>
        <w:t>0万元。</w:t>
      </w:r>
    </w:p>
    <w:p>
      <w:pPr>
        <w:autoSpaceDE w:val="0"/>
        <w:autoSpaceDN w:val="0"/>
        <w:adjustRightInd w:val="0"/>
        <w:spacing w:line="600" w:lineRule="exact"/>
        <w:ind w:firstLine="640" w:firstLineChars="200"/>
        <w:rPr>
          <w:rFonts w:ascii="仿宋" w:hAnsi="仿宋" w:eastAsia="仿宋"/>
          <w:sz w:val="32"/>
          <w:szCs w:val="32"/>
        </w:rPr>
      </w:pPr>
      <w:r>
        <w:rPr>
          <w:rFonts w:ascii="仿宋" w:hAnsi="仿宋" w:eastAsia="仿宋" w:cs="仿宋_GB2312"/>
          <w:sz w:val="32"/>
          <w:szCs w:val="32"/>
        </w:rPr>
        <w:t>4.</w:t>
      </w:r>
      <w:r>
        <w:rPr>
          <w:rFonts w:hint="eastAsia" w:ascii="仿宋" w:hAnsi="仿宋" w:eastAsia="仿宋"/>
          <w:sz w:val="32"/>
          <w:szCs w:val="32"/>
        </w:rPr>
        <w:t>上级补助收入</w:t>
      </w:r>
      <w:r>
        <w:rPr>
          <w:rFonts w:hint="eastAsia" w:ascii="仿宋" w:hAnsi="仿宋" w:eastAsia="仿宋" w:cs="仿宋_GB2312"/>
          <w:sz w:val="32"/>
          <w:szCs w:val="32"/>
        </w:rPr>
        <w:t>0</w:t>
      </w:r>
      <w:r>
        <w:rPr>
          <w:rFonts w:hint="eastAsia" w:ascii="仿宋" w:hAnsi="仿宋" w:eastAsia="仿宋"/>
          <w:sz w:val="32"/>
          <w:szCs w:val="32"/>
        </w:rPr>
        <w:t>万元。</w:t>
      </w:r>
    </w:p>
    <w:p>
      <w:pPr>
        <w:autoSpaceDE w:val="0"/>
        <w:autoSpaceDN w:val="0"/>
        <w:adjustRightInd w:val="0"/>
        <w:spacing w:line="600" w:lineRule="exact"/>
        <w:ind w:firstLine="640" w:firstLineChars="200"/>
        <w:rPr>
          <w:rFonts w:ascii="仿宋" w:hAnsi="仿宋" w:eastAsia="仿宋" w:cs="仿宋_GB2312"/>
          <w:sz w:val="32"/>
          <w:szCs w:val="32"/>
        </w:rPr>
      </w:pPr>
      <w:r>
        <w:rPr>
          <w:rFonts w:ascii="仿宋" w:hAnsi="仿宋" w:eastAsia="仿宋" w:cs="仿宋_GB2312"/>
          <w:sz w:val="32"/>
          <w:szCs w:val="32"/>
        </w:rPr>
        <w:t>5.附属单位上缴收入</w:t>
      </w:r>
      <w:r>
        <w:rPr>
          <w:rFonts w:hint="eastAsia" w:ascii="仿宋" w:hAnsi="仿宋" w:eastAsia="仿宋" w:cs="仿宋_GB2312"/>
          <w:sz w:val="32"/>
          <w:szCs w:val="32"/>
        </w:rPr>
        <w:t>0万元。</w:t>
      </w:r>
    </w:p>
    <w:p>
      <w:pPr>
        <w:autoSpaceDE w:val="0"/>
        <w:autoSpaceDN w:val="0"/>
        <w:adjustRightInd w:val="0"/>
        <w:spacing w:line="600" w:lineRule="exact"/>
        <w:ind w:firstLine="640" w:firstLineChars="200"/>
        <w:rPr>
          <w:rFonts w:ascii="仿宋" w:hAnsi="仿宋" w:eastAsia="仿宋" w:cs="仿宋_GB2312"/>
          <w:sz w:val="32"/>
          <w:szCs w:val="32"/>
        </w:rPr>
      </w:pPr>
      <w:r>
        <w:rPr>
          <w:rFonts w:ascii="仿宋" w:hAnsi="仿宋" w:eastAsia="仿宋" w:cs="仿宋_GB2312"/>
          <w:sz w:val="32"/>
          <w:szCs w:val="32"/>
        </w:rPr>
        <w:t>6.其他收入</w:t>
      </w:r>
      <w:r>
        <w:rPr>
          <w:rFonts w:hint="eastAsia" w:ascii="仿宋" w:hAnsi="仿宋" w:eastAsia="仿宋" w:cs="仿宋_GB2312"/>
          <w:sz w:val="32"/>
          <w:szCs w:val="32"/>
        </w:rPr>
        <w:t>32.14万元。</w:t>
      </w:r>
    </w:p>
    <w:p>
      <w:pPr>
        <w:autoSpaceDE w:val="0"/>
        <w:autoSpaceDN w:val="0"/>
        <w:adjustRightInd w:val="0"/>
        <w:spacing w:line="600" w:lineRule="exact"/>
        <w:ind w:firstLine="640" w:firstLineChars="200"/>
        <w:rPr>
          <w:rFonts w:ascii="仿宋" w:hAnsi="仿宋" w:eastAsia="仿宋" w:cs="Times New Roman"/>
          <w:sz w:val="32"/>
          <w:szCs w:val="32"/>
        </w:rPr>
      </w:pPr>
      <w:r>
        <w:rPr>
          <w:rFonts w:hint="eastAsia" w:ascii="仿宋" w:hAnsi="仿宋" w:eastAsia="仿宋" w:cs="仿宋_GB2312"/>
          <w:sz w:val="32"/>
          <w:szCs w:val="32"/>
        </w:rPr>
        <w:t>（二）</w:t>
      </w:r>
      <w:r>
        <w:rPr>
          <w:rFonts w:hint="eastAsia" w:ascii="仿宋" w:hAnsi="仿宋" w:eastAsia="仿宋"/>
          <w:sz w:val="32"/>
          <w:szCs w:val="32"/>
        </w:rPr>
        <w:t>2017</w:t>
      </w:r>
      <w:r>
        <w:rPr>
          <w:rFonts w:hint="eastAsia" w:ascii="仿宋" w:hAnsi="仿宋" w:eastAsia="仿宋" w:cs="仿宋_GB2312"/>
          <w:sz w:val="32"/>
          <w:szCs w:val="32"/>
        </w:rPr>
        <w:t>年支出476.09万元，比2016年决算数增加19.29万元，增长4.22％</w:t>
      </w:r>
      <w:r>
        <w:rPr>
          <w:rFonts w:hint="eastAsia" w:ascii="仿宋" w:hAnsi="仿宋" w:eastAsia="仿宋"/>
          <w:sz w:val="32"/>
          <w:szCs w:val="32"/>
        </w:rPr>
        <w:t>，</w:t>
      </w:r>
      <w:r>
        <w:rPr>
          <w:rFonts w:hint="eastAsia" w:ascii="仿宋" w:hAnsi="仿宋" w:eastAsia="仿宋" w:cs="仿宋_GB2312"/>
          <w:sz w:val="32"/>
          <w:szCs w:val="32"/>
        </w:rPr>
        <w:t>具体情况如下：</w:t>
      </w:r>
    </w:p>
    <w:p>
      <w:pPr>
        <w:tabs>
          <w:tab w:val="left" w:pos="7513"/>
        </w:tabs>
        <w:adjustRightInd w:val="0"/>
        <w:snapToGrid w:val="0"/>
        <w:spacing w:line="600" w:lineRule="exact"/>
        <w:ind w:left="237" w:leftChars="113" w:firstLine="480" w:firstLineChars="150"/>
        <w:rPr>
          <w:rFonts w:ascii="仿宋" w:hAnsi="仿宋" w:eastAsia="仿宋"/>
          <w:sz w:val="32"/>
          <w:szCs w:val="32"/>
        </w:rPr>
      </w:pPr>
      <w:r>
        <w:rPr>
          <w:rFonts w:ascii="仿宋" w:hAnsi="仿宋" w:eastAsia="仿宋" w:cs="仿宋_GB2312"/>
          <w:sz w:val="32"/>
          <w:szCs w:val="32"/>
        </w:rPr>
        <w:t>1.</w:t>
      </w:r>
      <w:r>
        <w:rPr>
          <w:rFonts w:hint="eastAsia" w:ascii="仿宋" w:hAnsi="仿宋" w:eastAsia="仿宋" w:cs="仿宋_GB2312"/>
          <w:sz w:val="32"/>
          <w:szCs w:val="32"/>
        </w:rPr>
        <w:t>基本支出312.02万元。其中，人员支出301.14万元，公用支出10.88万元。</w:t>
      </w:r>
    </w:p>
    <w:p>
      <w:pPr>
        <w:tabs>
          <w:tab w:val="left" w:pos="7513"/>
        </w:tabs>
        <w:adjustRightInd w:val="0"/>
        <w:snapToGrid w:val="0"/>
        <w:spacing w:line="600" w:lineRule="exact"/>
        <w:ind w:left="716" w:leftChars="341"/>
        <w:rPr>
          <w:rFonts w:ascii="仿宋" w:hAnsi="仿宋" w:eastAsia="仿宋"/>
          <w:sz w:val="32"/>
          <w:szCs w:val="32"/>
        </w:rPr>
      </w:pPr>
      <w:r>
        <w:rPr>
          <w:rFonts w:ascii="仿宋" w:hAnsi="仿宋" w:eastAsia="仿宋" w:cs="仿宋_GB2312"/>
          <w:sz w:val="32"/>
          <w:szCs w:val="32"/>
        </w:rPr>
        <w:t>2.</w:t>
      </w:r>
      <w:r>
        <w:rPr>
          <w:rFonts w:hint="eastAsia" w:ascii="仿宋" w:hAnsi="仿宋" w:eastAsia="仿宋" w:cs="仿宋_GB2312"/>
          <w:sz w:val="32"/>
          <w:szCs w:val="32"/>
        </w:rPr>
        <w:t>项目支出164.07万元。</w:t>
      </w:r>
    </w:p>
    <w:p>
      <w:pPr>
        <w:tabs>
          <w:tab w:val="left" w:pos="7513"/>
        </w:tabs>
        <w:adjustRightInd w:val="0"/>
        <w:snapToGrid w:val="0"/>
        <w:spacing w:line="600" w:lineRule="exact"/>
        <w:ind w:left="716" w:leftChars="341"/>
        <w:rPr>
          <w:rFonts w:ascii="仿宋" w:hAnsi="仿宋" w:eastAsia="仿宋"/>
          <w:sz w:val="32"/>
          <w:szCs w:val="32"/>
        </w:rPr>
      </w:pPr>
      <w:r>
        <w:rPr>
          <w:rFonts w:ascii="仿宋" w:hAnsi="仿宋" w:eastAsia="仿宋" w:cs="仿宋_GB2312"/>
          <w:sz w:val="32"/>
          <w:szCs w:val="32"/>
        </w:rPr>
        <w:t>3.</w:t>
      </w:r>
      <w:r>
        <w:rPr>
          <w:rFonts w:hint="eastAsia" w:ascii="仿宋" w:hAnsi="仿宋" w:eastAsia="仿宋" w:cs="仿宋_GB2312"/>
          <w:sz w:val="32"/>
          <w:szCs w:val="32"/>
        </w:rPr>
        <w:t>上缴上级支出0万元。</w:t>
      </w:r>
    </w:p>
    <w:p>
      <w:pPr>
        <w:tabs>
          <w:tab w:val="left" w:pos="7513"/>
        </w:tabs>
        <w:adjustRightInd w:val="0"/>
        <w:snapToGrid w:val="0"/>
        <w:spacing w:line="600" w:lineRule="exact"/>
        <w:ind w:firstLine="640" w:firstLineChars="200"/>
        <w:rPr>
          <w:rFonts w:ascii="仿宋" w:hAnsi="仿宋" w:eastAsia="仿宋"/>
          <w:sz w:val="32"/>
          <w:szCs w:val="32"/>
        </w:rPr>
      </w:pPr>
      <w:r>
        <w:rPr>
          <w:rFonts w:ascii="仿宋" w:hAnsi="仿宋" w:eastAsia="仿宋" w:cs="仿宋_GB2312"/>
          <w:sz w:val="32"/>
          <w:szCs w:val="32"/>
        </w:rPr>
        <w:t>4.</w:t>
      </w:r>
      <w:r>
        <w:rPr>
          <w:rFonts w:hint="eastAsia" w:ascii="仿宋" w:hAnsi="仿宋" w:eastAsia="仿宋" w:cs="仿宋_GB2312"/>
          <w:sz w:val="32"/>
          <w:szCs w:val="32"/>
        </w:rPr>
        <w:t>经营支出0万元。</w:t>
      </w:r>
    </w:p>
    <w:p>
      <w:pPr>
        <w:spacing w:line="600" w:lineRule="exact"/>
        <w:ind w:firstLine="640" w:firstLineChars="200"/>
        <w:rPr>
          <w:rFonts w:ascii="仿宋" w:hAnsi="仿宋" w:eastAsia="仿宋"/>
          <w:sz w:val="32"/>
          <w:szCs w:val="32"/>
        </w:rPr>
      </w:pPr>
      <w:r>
        <w:rPr>
          <w:rFonts w:ascii="仿宋" w:hAnsi="仿宋" w:eastAsia="仿宋" w:cs="仿宋_GB2312"/>
          <w:sz w:val="32"/>
          <w:szCs w:val="32"/>
        </w:rPr>
        <w:t>5.</w:t>
      </w:r>
      <w:r>
        <w:rPr>
          <w:rFonts w:hint="eastAsia" w:ascii="仿宋" w:hAnsi="仿宋" w:eastAsia="仿宋" w:cs="仿宋_GB2312"/>
          <w:sz w:val="32"/>
          <w:szCs w:val="32"/>
        </w:rPr>
        <w:t>对附属单位补助支出0万元。</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五、一般公共预算拨款支出决算情况</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2017年一般公共预算拨款支出468.73万元，比上年决算数增加72.83万元，增长18.4</w:t>
      </w:r>
      <w:r>
        <w:rPr>
          <w:rFonts w:ascii="仿宋" w:hAnsi="仿宋" w:eastAsia="仿宋"/>
          <w:sz w:val="32"/>
          <w:szCs w:val="32"/>
        </w:rPr>
        <w:t>%，具体情况如下(按项级科目分类统计)：</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（一）行政运行（2150601）314.66万元，较上年决算数增加59.97万元，增长23.55</w:t>
      </w:r>
      <w:r>
        <w:rPr>
          <w:rFonts w:ascii="仿宋" w:hAnsi="仿宋" w:eastAsia="仿宋"/>
          <w:sz w:val="32"/>
          <w:szCs w:val="32"/>
        </w:rPr>
        <w:t>%。主要原因是</w:t>
      </w:r>
      <w:r>
        <w:rPr>
          <w:rFonts w:hint="eastAsia" w:ascii="仿宋" w:hAnsi="仿宋" w:eastAsia="仿宋"/>
          <w:sz w:val="32"/>
          <w:szCs w:val="32"/>
        </w:rPr>
        <w:t>比上年新增1人及职工调增工资及奖金等</w:t>
      </w:r>
      <w:r>
        <w:rPr>
          <w:rFonts w:ascii="仿宋" w:hAnsi="仿宋" w:eastAsia="仿宋"/>
          <w:sz w:val="32"/>
          <w:szCs w:val="32"/>
        </w:rPr>
        <w:t>。</w:t>
      </w:r>
    </w:p>
    <w:p>
      <w:pPr>
        <w:spacing w:line="600" w:lineRule="exact"/>
        <w:ind w:firstLine="640" w:firstLineChars="200"/>
        <w:rPr>
          <w:rFonts w:hint="eastAsia" w:ascii="仿宋" w:hAnsi="仿宋" w:eastAsia="仿宋"/>
          <w:sz w:val="32"/>
          <w:szCs w:val="32"/>
          <w:lang w:eastAsia="zh-CN"/>
        </w:rPr>
      </w:pPr>
      <w:r>
        <w:rPr>
          <w:rFonts w:hint="eastAsia" w:ascii="仿宋" w:hAnsi="仿宋" w:eastAsia="仿宋"/>
          <w:sz w:val="32"/>
          <w:szCs w:val="32"/>
        </w:rPr>
        <w:t>（二）一般行政管理事务（2150602）70万元，较上年决算数增加0万元，增长0</w:t>
      </w:r>
      <w:r>
        <w:rPr>
          <w:rFonts w:ascii="仿宋" w:hAnsi="仿宋" w:eastAsia="仿宋"/>
          <w:sz w:val="32"/>
          <w:szCs w:val="32"/>
        </w:rPr>
        <w:t>%</w:t>
      </w:r>
      <w:r>
        <w:rPr>
          <w:rFonts w:hint="eastAsia" w:ascii="仿宋" w:hAnsi="仿宋" w:eastAsia="仿宋"/>
          <w:sz w:val="32"/>
          <w:szCs w:val="32"/>
          <w:lang w:eastAsia="zh-CN"/>
        </w:rPr>
        <w:t>。主要原因是与上年持平，无增长。</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（三）其他支出（2299901）84.07万元，较上年决算数增加12.86万元，增长18.06</w:t>
      </w:r>
      <w:r>
        <w:rPr>
          <w:rFonts w:ascii="仿宋" w:hAnsi="仿宋" w:eastAsia="仿宋"/>
          <w:sz w:val="32"/>
          <w:szCs w:val="32"/>
        </w:rPr>
        <w:t>%。主要原因是</w:t>
      </w:r>
      <w:r>
        <w:rPr>
          <w:rFonts w:hint="eastAsia" w:ascii="仿宋" w:hAnsi="仿宋" w:eastAsia="仿宋"/>
          <w:sz w:val="32"/>
          <w:szCs w:val="32"/>
        </w:rPr>
        <w:t>项目支出增加</w:t>
      </w:r>
      <w:r>
        <w:rPr>
          <w:rFonts w:ascii="仿宋" w:hAnsi="仿宋" w:eastAsia="仿宋"/>
          <w:sz w:val="32"/>
          <w:szCs w:val="32"/>
        </w:rPr>
        <w:t>。</w:t>
      </w:r>
    </w:p>
    <w:p>
      <w:pPr>
        <w:tabs>
          <w:tab w:val="left" w:pos="7513"/>
        </w:tabs>
        <w:adjustRightInd w:val="0"/>
        <w:snapToGrid w:val="0"/>
        <w:spacing w:line="600" w:lineRule="exact"/>
        <w:ind w:firstLine="640" w:firstLineChars="200"/>
        <w:rPr>
          <w:rFonts w:ascii="黑体" w:hAnsi="黑体" w:eastAsia="黑体" w:cs="仿宋_GB2312"/>
          <w:bCs/>
          <w:sz w:val="32"/>
          <w:szCs w:val="32"/>
        </w:rPr>
      </w:pPr>
      <w:r>
        <w:rPr>
          <w:rFonts w:hint="eastAsia" w:ascii="黑体" w:hAnsi="黑体" w:eastAsia="黑体" w:cs="仿宋_GB2312"/>
          <w:bCs/>
          <w:sz w:val="32"/>
          <w:szCs w:val="32"/>
        </w:rPr>
        <w:t>六、政府性基金支出决算情况</w:t>
      </w:r>
    </w:p>
    <w:p>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sz w:val="32"/>
          <w:szCs w:val="32"/>
        </w:rPr>
        <w:t>2017</w:t>
      </w:r>
      <w:r>
        <w:rPr>
          <w:rFonts w:hint="eastAsia" w:ascii="仿宋" w:hAnsi="仿宋" w:eastAsia="仿宋" w:cs="仿宋_GB2312"/>
          <w:sz w:val="32"/>
          <w:szCs w:val="32"/>
        </w:rPr>
        <w:t>年度</w:t>
      </w:r>
      <w:r>
        <w:rPr>
          <w:rFonts w:ascii="仿宋" w:hAnsi="仿宋" w:eastAsia="仿宋" w:cs="仿宋_GB2312"/>
          <w:sz w:val="32"/>
          <w:szCs w:val="32"/>
        </w:rPr>
        <w:t>政府性基金支出</w:t>
      </w:r>
      <w:r>
        <w:rPr>
          <w:rFonts w:hint="eastAsia" w:ascii="仿宋" w:hAnsi="仿宋" w:eastAsia="仿宋"/>
          <w:sz w:val="32"/>
          <w:szCs w:val="32"/>
        </w:rPr>
        <w:t>0</w:t>
      </w:r>
      <w:r>
        <w:rPr>
          <w:rFonts w:hint="eastAsia" w:ascii="仿宋" w:hAnsi="仿宋" w:eastAsia="仿宋" w:cs="仿宋_GB2312"/>
          <w:sz w:val="32"/>
          <w:szCs w:val="32"/>
        </w:rPr>
        <w:t>万元，比</w:t>
      </w:r>
      <w:r>
        <w:rPr>
          <w:rFonts w:hint="eastAsia" w:ascii="仿宋" w:hAnsi="仿宋" w:eastAsia="仿宋"/>
          <w:sz w:val="32"/>
          <w:szCs w:val="32"/>
        </w:rPr>
        <w:t>上年</w:t>
      </w:r>
      <w:r>
        <w:rPr>
          <w:rFonts w:ascii="仿宋" w:hAnsi="仿宋" w:eastAsia="仿宋" w:cs="仿宋_GB2312"/>
          <w:sz w:val="32"/>
          <w:szCs w:val="32"/>
        </w:rPr>
        <w:t>决算数增加（减少）</w:t>
      </w:r>
      <w:r>
        <w:rPr>
          <w:rFonts w:hint="eastAsia" w:ascii="仿宋" w:hAnsi="仿宋" w:eastAsia="仿宋"/>
          <w:sz w:val="32"/>
          <w:szCs w:val="32"/>
        </w:rPr>
        <w:t>0</w:t>
      </w:r>
      <w:r>
        <w:rPr>
          <w:rFonts w:hint="eastAsia" w:ascii="仿宋" w:hAnsi="仿宋" w:eastAsia="仿宋" w:cs="仿宋_GB2312"/>
          <w:sz w:val="32"/>
          <w:szCs w:val="32"/>
        </w:rPr>
        <w:t>万元，增长（下降）</w:t>
      </w:r>
      <w:r>
        <w:rPr>
          <w:rFonts w:hint="eastAsia" w:ascii="仿宋" w:hAnsi="仿宋" w:eastAsia="仿宋"/>
          <w:sz w:val="32"/>
          <w:szCs w:val="32"/>
        </w:rPr>
        <w:t>0</w:t>
      </w:r>
      <w:r>
        <w:rPr>
          <w:rFonts w:ascii="仿宋" w:hAnsi="仿宋" w:eastAsia="仿宋" w:cs="仿宋_GB2312"/>
          <w:sz w:val="32"/>
          <w:szCs w:val="32"/>
        </w:rPr>
        <w:t>%</w:t>
      </w:r>
      <w:r>
        <w:rPr>
          <w:rFonts w:hint="eastAsia" w:ascii="仿宋" w:hAnsi="仿宋" w:eastAsia="仿宋" w:cs="仿宋_GB2312"/>
          <w:sz w:val="32"/>
          <w:szCs w:val="32"/>
        </w:rPr>
        <w:t>。</w:t>
      </w:r>
    </w:p>
    <w:p>
      <w:pPr>
        <w:tabs>
          <w:tab w:val="left" w:pos="7513"/>
        </w:tabs>
        <w:adjustRightInd w:val="0"/>
        <w:snapToGrid w:val="0"/>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本单位2017年度没有使用政府性基金预算拨款安排的支出。</w:t>
      </w:r>
    </w:p>
    <w:p>
      <w:pPr>
        <w:tabs>
          <w:tab w:val="left" w:pos="7513"/>
        </w:tabs>
        <w:adjustRightInd w:val="0"/>
        <w:snapToGrid w:val="0"/>
        <w:spacing w:line="600" w:lineRule="exact"/>
        <w:ind w:firstLine="640" w:firstLineChars="200"/>
        <w:rPr>
          <w:rFonts w:ascii="黑体" w:hAnsi="黑体" w:eastAsia="黑体" w:cs="仿宋_GB2312"/>
          <w:bCs/>
          <w:sz w:val="32"/>
          <w:szCs w:val="32"/>
        </w:rPr>
      </w:pPr>
      <w:r>
        <w:rPr>
          <w:rFonts w:hint="eastAsia" w:ascii="黑体" w:hAnsi="黑体" w:eastAsia="黑体" w:cs="仿宋_GB2312"/>
          <w:bCs/>
          <w:sz w:val="32"/>
          <w:szCs w:val="32"/>
        </w:rPr>
        <w:t>七、财政拨款基本支出决算情况</w:t>
      </w:r>
    </w:p>
    <w:p>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sz w:val="32"/>
          <w:szCs w:val="32"/>
        </w:rPr>
        <w:t>2017</w:t>
      </w:r>
      <w:r>
        <w:rPr>
          <w:rFonts w:hint="eastAsia" w:ascii="仿宋" w:hAnsi="仿宋" w:eastAsia="仿宋" w:cs="仿宋_GB2312"/>
          <w:sz w:val="32"/>
          <w:szCs w:val="32"/>
        </w:rPr>
        <w:t>年度财政拨款基本支出304.66万元，其中：</w:t>
      </w:r>
    </w:p>
    <w:p>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人员经费301.14万元，主要包括：基本工资、津贴补贴、奖金、伙食补助费、绩效工资、机关事业单位基本养老保险缴费、职业年金缴费、其他社会保障缴费、其他工资福利支出、离休费、退休费、抚恤金、生活补助、医疗费、奖励金、住房公积金、提租补贴、购房补贴、采暖补贴、物业服务补贴、其他对个人和家庭的补助支出。</w:t>
      </w:r>
    </w:p>
    <w:p>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二）公用经费3.52万元，主要包括：办公费、印刷费、咨询费、手续费、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其他资本性支出。</w:t>
      </w:r>
    </w:p>
    <w:p>
      <w:pPr>
        <w:tabs>
          <w:tab w:val="left" w:pos="7513"/>
        </w:tabs>
        <w:adjustRightInd w:val="0"/>
        <w:snapToGrid w:val="0"/>
        <w:spacing w:line="600" w:lineRule="exact"/>
        <w:ind w:firstLine="640" w:firstLineChars="200"/>
        <w:rPr>
          <w:rFonts w:ascii="黑体" w:hAnsi="黑体" w:eastAsia="黑体" w:cs="仿宋_GB2312"/>
          <w:bCs/>
          <w:sz w:val="32"/>
          <w:szCs w:val="32"/>
        </w:rPr>
      </w:pPr>
      <w:r>
        <w:rPr>
          <w:rFonts w:hint="eastAsia" w:ascii="黑体" w:hAnsi="黑体" w:eastAsia="黑体" w:cs="仿宋_GB2312"/>
          <w:bCs/>
          <w:sz w:val="32"/>
          <w:szCs w:val="32"/>
        </w:rPr>
        <w:t>八、</w:t>
      </w:r>
      <w:r>
        <w:rPr>
          <w:rFonts w:hint="eastAsia" w:ascii="黑体" w:hAnsi="黑体" w:eastAsia="黑体"/>
          <w:sz w:val="32"/>
          <w:szCs w:val="32"/>
        </w:rPr>
        <w:t>一般公共预算拨款</w:t>
      </w:r>
      <w:r>
        <w:rPr>
          <w:rFonts w:hint="eastAsia" w:ascii="黑体" w:hAnsi="黑体" w:eastAsia="黑体" w:cs="仿宋_GB2312"/>
          <w:bCs/>
          <w:sz w:val="32"/>
          <w:szCs w:val="32"/>
        </w:rPr>
        <w:t>“三公”经费支出决算情况</w:t>
      </w:r>
    </w:p>
    <w:p>
      <w:pPr>
        <w:tabs>
          <w:tab w:val="left" w:pos="7513"/>
        </w:tabs>
        <w:adjustRightInd w:val="0"/>
        <w:snapToGrid w:val="0"/>
        <w:spacing w:line="600" w:lineRule="exact"/>
        <w:ind w:firstLine="704" w:firstLineChars="220"/>
        <w:rPr>
          <w:rFonts w:ascii="仿宋" w:hAnsi="仿宋" w:eastAsia="仿宋" w:cs="仿宋_GB2312"/>
          <w:sz w:val="32"/>
          <w:szCs w:val="32"/>
        </w:rPr>
      </w:pPr>
      <w:r>
        <w:rPr>
          <w:rFonts w:ascii="仿宋" w:hAnsi="仿宋" w:eastAsia="仿宋" w:cs="仿宋_GB2312"/>
          <w:sz w:val="32"/>
          <w:szCs w:val="32"/>
        </w:rPr>
        <w:t>2017年</w:t>
      </w:r>
      <w:r>
        <w:rPr>
          <w:rFonts w:hint="eastAsia" w:ascii="仿宋" w:hAnsi="仿宋" w:eastAsia="仿宋" w:cs="仿宋_GB2312"/>
          <w:sz w:val="32"/>
          <w:szCs w:val="32"/>
        </w:rPr>
        <w:t>度</w:t>
      </w:r>
      <w:r>
        <w:rPr>
          <w:rFonts w:ascii="仿宋" w:hAnsi="仿宋" w:eastAsia="仿宋" w:cs="仿宋_GB2312"/>
          <w:sz w:val="32"/>
          <w:szCs w:val="32"/>
        </w:rPr>
        <w:t>“三公”经费</w:t>
      </w:r>
      <w:r>
        <w:rPr>
          <w:rFonts w:hint="eastAsia" w:ascii="仿宋" w:hAnsi="仿宋" w:eastAsia="仿宋" w:cs="仿宋_GB2312"/>
          <w:sz w:val="32"/>
          <w:szCs w:val="32"/>
        </w:rPr>
        <w:t>一般公共预算拨款7.47万元，同比下降（增长）19.68</w:t>
      </w:r>
      <w:r>
        <w:rPr>
          <w:rFonts w:ascii="仿宋" w:hAnsi="仿宋" w:eastAsia="仿宋" w:cs="仿宋_GB2312"/>
          <w:sz w:val="32"/>
          <w:szCs w:val="32"/>
        </w:rPr>
        <w:t>%。具体情况如下：</w:t>
      </w:r>
      <w:r>
        <w:rPr>
          <w:rFonts w:ascii="仿宋" w:hAnsi="仿宋" w:eastAsia="仿宋" w:cs="仿宋_GB2312"/>
          <w:sz w:val="32"/>
          <w:szCs w:val="32"/>
        </w:rPr>
        <w:br/>
      </w:r>
      <w:r>
        <w:rPr>
          <w:rFonts w:hint="eastAsia" w:ascii="仿宋" w:hAnsi="仿宋" w:eastAsia="仿宋" w:cs="仿宋_GB2312"/>
          <w:sz w:val="32"/>
          <w:szCs w:val="32"/>
        </w:rPr>
        <w:t>　　（一）因公出国（境）费0万元，2017年本单位组织出国团组0个，参加其他单位出国团组0个；全年因公出国（境）累计0人次。与2016年相比</w:t>
      </w:r>
      <w:r>
        <w:rPr>
          <w:rFonts w:ascii="仿宋" w:hAnsi="仿宋" w:eastAsia="仿宋" w:cs="仿宋_GB2312"/>
          <w:sz w:val="32"/>
          <w:szCs w:val="32"/>
        </w:rPr>
        <w:t xml:space="preserve">, </w:t>
      </w:r>
      <w:r>
        <w:rPr>
          <w:rFonts w:hint="eastAsia" w:ascii="仿宋" w:hAnsi="仿宋" w:eastAsia="仿宋" w:cs="仿宋_GB2312"/>
          <w:sz w:val="32"/>
          <w:szCs w:val="32"/>
        </w:rPr>
        <w:t>因公出国（境）经费支出下降（增长）0</w:t>
      </w:r>
      <w:r>
        <w:rPr>
          <w:rFonts w:ascii="仿宋" w:hAnsi="仿宋" w:eastAsia="仿宋" w:cs="仿宋_GB2312"/>
          <w:sz w:val="32"/>
          <w:szCs w:val="32"/>
        </w:rPr>
        <w:t>%，主要是:</w:t>
      </w:r>
      <w:r>
        <w:rPr>
          <w:rFonts w:hint="eastAsia" w:ascii="仿宋" w:hAnsi="仿宋" w:eastAsia="仿宋" w:cs="仿宋_GB2312"/>
          <w:sz w:val="32"/>
          <w:szCs w:val="32"/>
        </w:rPr>
        <w:t>本年度无因公出国（境）事项</w:t>
      </w:r>
      <w:r>
        <w:rPr>
          <w:rFonts w:ascii="仿宋" w:hAnsi="仿宋" w:eastAsia="仿宋" w:cs="仿宋_GB2312"/>
          <w:sz w:val="32"/>
          <w:szCs w:val="32"/>
        </w:rPr>
        <w:t>。</w:t>
      </w:r>
      <w:r>
        <w:rPr>
          <w:rFonts w:ascii="仿宋" w:hAnsi="仿宋" w:eastAsia="仿宋" w:cs="仿宋_GB2312"/>
          <w:sz w:val="32"/>
          <w:szCs w:val="32"/>
        </w:rPr>
        <w:br/>
      </w:r>
      <w:r>
        <w:rPr>
          <w:rFonts w:ascii="仿宋" w:hAnsi="仿宋" w:eastAsia="仿宋" w:cs="仿宋_GB2312"/>
          <w:sz w:val="32"/>
          <w:szCs w:val="32"/>
        </w:rPr>
        <w:t xml:space="preserve">    （二）公务用车购置及运行费</w:t>
      </w:r>
      <w:r>
        <w:rPr>
          <w:rFonts w:hint="eastAsia" w:ascii="仿宋" w:hAnsi="仿宋" w:eastAsia="仿宋" w:cs="仿宋_GB2312"/>
          <w:sz w:val="32"/>
          <w:szCs w:val="32"/>
        </w:rPr>
        <w:t>6</w:t>
      </w:r>
      <w:r>
        <w:rPr>
          <w:rFonts w:ascii="仿宋" w:hAnsi="仿宋" w:eastAsia="仿宋" w:cs="仿宋_GB2312"/>
          <w:sz w:val="32"/>
          <w:szCs w:val="32"/>
        </w:rPr>
        <w:t>万元。其中：公务用车购置费</w:t>
      </w:r>
      <w:r>
        <w:rPr>
          <w:rFonts w:hint="eastAsia" w:ascii="仿宋" w:hAnsi="仿宋" w:eastAsia="仿宋" w:cs="仿宋_GB2312"/>
          <w:sz w:val="32"/>
          <w:szCs w:val="32"/>
        </w:rPr>
        <w:t>0</w:t>
      </w:r>
      <w:r>
        <w:rPr>
          <w:rFonts w:ascii="仿宋" w:hAnsi="仿宋" w:eastAsia="仿宋" w:cs="仿宋_GB2312"/>
          <w:sz w:val="32"/>
          <w:szCs w:val="32"/>
        </w:rPr>
        <w:t>万元，2017年公务用车购置</w:t>
      </w:r>
      <w:r>
        <w:rPr>
          <w:rFonts w:hint="eastAsia" w:ascii="仿宋" w:hAnsi="仿宋" w:eastAsia="仿宋" w:cs="仿宋_GB2312"/>
          <w:sz w:val="32"/>
          <w:szCs w:val="32"/>
        </w:rPr>
        <w:t>0辆。公务用车运行费6万元，主要用于公务用车燃油、维修、保险等方面支出，年末公务用车保有量3辆。与2016年相比，公务用车购置费和运行费与上年持平</w:t>
      </w:r>
      <w:r>
        <w:rPr>
          <w:rFonts w:ascii="仿宋" w:hAnsi="仿宋" w:eastAsia="仿宋" w:cs="仿宋_GB2312"/>
          <w:sz w:val="32"/>
          <w:szCs w:val="32"/>
        </w:rPr>
        <w:t>，主要是:</w:t>
      </w:r>
      <w:r>
        <w:rPr>
          <w:rFonts w:hint="eastAsia" w:ascii="仿宋" w:hAnsi="仿宋" w:eastAsia="仿宋" w:cs="仿宋_GB2312"/>
          <w:sz w:val="32"/>
          <w:szCs w:val="32"/>
        </w:rPr>
        <w:t>与上年财政安排经费一致</w:t>
      </w:r>
      <w:r>
        <w:rPr>
          <w:rFonts w:ascii="仿宋" w:hAnsi="仿宋" w:eastAsia="仿宋" w:cs="仿宋_GB2312"/>
          <w:sz w:val="32"/>
          <w:szCs w:val="32"/>
        </w:rPr>
        <w:t>。</w:t>
      </w:r>
      <w:r>
        <w:rPr>
          <w:rFonts w:ascii="仿宋" w:hAnsi="仿宋" w:eastAsia="仿宋" w:cs="仿宋_GB2312"/>
          <w:sz w:val="32"/>
          <w:szCs w:val="32"/>
        </w:rPr>
        <w:br/>
      </w:r>
      <w:r>
        <w:rPr>
          <w:rFonts w:hint="eastAsia" w:ascii="仿宋" w:hAnsi="仿宋" w:eastAsia="仿宋" w:cs="仿宋_GB2312"/>
          <w:sz w:val="32"/>
          <w:szCs w:val="32"/>
        </w:rPr>
        <w:t>　　（三）公务接待费1.47万元。主要用于国家、省级部门督查、检查等方面的接待活动，累计接待19批次、接待总人数133人。与</w:t>
      </w:r>
      <w:r>
        <w:rPr>
          <w:rFonts w:ascii="仿宋" w:hAnsi="仿宋" w:eastAsia="仿宋" w:cs="仿宋_GB2312"/>
          <w:sz w:val="32"/>
          <w:szCs w:val="32"/>
        </w:rPr>
        <w:t xml:space="preserve">2016年相比, </w:t>
      </w:r>
      <w:r>
        <w:rPr>
          <w:rFonts w:hint="eastAsia" w:ascii="仿宋" w:hAnsi="仿宋" w:eastAsia="仿宋" w:cs="仿宋_GB2312"/>
          <w:sz w:val="32"/>
          <w:szCs w:val="32"/>
        </w:rPr>
        <w:t>公务接待费支出增长100</w:t>
      </w:r>
      <w:r>
        <w:rPr>
          <w:rFonts w:ascii="仿宋" w:hAnsi="仿宋" w:eastAsia="仿宋" w:cs="仿宋_GB2312"/>
          <w:sz w:val="32"/>
          <w:szCs w:val="32"/>
        </w:rPr>
        <w:t>%，主要是</w:t>
      </w:r>
      <w:r>
        <w:rPr>
          <w:rFonts w:hint="eastAsia" w:ascii="仿宋" w:hAnsi="仿宋" w:eastAsia="仿宋" w:cs="仿宋_GB2312"/>
          <w:sz w:val="32"/>
          <w:szCs w:val="32"/>
        </w:rPr>
        <w:t>国家、省级部门督查、检查等方面的接待活动有所增加</w:t>
      </w:r>
      <w:r>
        <w:rPr>
          <w:rFonts w:ascii="仿宋" w:hAnsi="仿宋" w:eastAsia="仿宋" w:cs="仿宋_GB2312"/>
          <w:sz w:val="32"/>
          <w:szCs w:val="32"/>
        </w:rPr>
        <w:t>。</w:t>
      </w:r>
    </w:p>
    <w:p>
      <w:pPr>
        <w:tabs>
          <w:tab w:val="left" w:pos="7513"/>
        </w:tabs>
        <w:adjustRightInd w:val="0"/>
        <w:snapToGrid w:val="0"/>
        <w:spacing w:line="600" w:lineRule="exact"/>
        <w:ind w:firstLine="640" w:firstLineChars="200"/>
        <w:rPr>
          <w:rFonts w:ascii="黑体" w:hAnsi="黑体" w:eastAsia="黑体"/>
          <w:sz w:val="32"/>
          <w:szCs w:val="32"/>
        </w:rPr>
      </w:pPr>
      <w:r>
        <w:rPr>
          <w:rFonts w:hint="eastAsia" w:ascii="黑体" w:hAnsi="黑体" w:eastAsia="黑体"/>
          <w:sz w:val="32"/>
          <w:szCs w:val="32"/>
        </w:rPr>
        <w:t>九、其他重要事项说明</w:t>
      </w:r>
    </w:p>
    <w:p>
      <w:pPr>
        <w:tabs>
          <w:tab w:val="left" w:pos="7513"/>
        </w:tabs>
        <w:adjustRightInd w:val="0"/>
        <w:snapToGrid w:val="0"/>
        <w:spacing w:line="600" w:lineRule="exact"/>
        <w:ind w:firstLine="643" w:firstLineChars="200"/>
        <w:rPr>
          <w:rFonts w:ascii="黑体" w:hAnsi="黑体" w:eastAsia="黑体" w:cs="仿宋_GB2312"/>
          <w:bCs/>
          <w:sz w:val="32"/>
          <w:szCs w:val="32"/>
        </w:rPr>
      </w:pPr>
      <w:r>
        <w:rPr>
          <w:rFonts w:hint="eastAsia" w:ascii="楷体" w:hAnsi="楷体" w:eastAsia="楷体"/>
          <w:b/>
          <w:sz w:val="32"/>
          <w:szCs w:val="32"/>
        </w:rPr>
        <w:t>（一）机关运行经费</w:t>
      </w:r>
    </w:p>
    <w:p>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sz w:val="32"/>
          <w:szCs w:val="32"/>
        </w:rPr>
        <w:t>2017</w:t>
      </w:r>
      <w:r>
        <w:rPr>
          <w:rFonts w:hint="eastAsia" w:ascii="仿宋" w:hAnsi="仿宋" w:eastAsia="仿宋" w:cs="仿宋_GB2312"/>
          <w:sz w:val="32"/>
          <w:szCs w:val="32"/>
        </w:rPr>
        <w:t>年度</w:t>
      </w:r>
      <w:r>
        <w:rPr>
          <w:rFonts w:ascii="仿宋" w:hAnsi="仿宋" w:eastAsia="仿宋" w:cs="仿宋_GB2312"/>
          <w:sz w:val="32"/>
          <w:szCs w:val="32"/>
        </w:rPr>
        <w:t>机关运行经费支出</w:t>
      </w:r>
      <w:r>
        <w:rPr>
          <w:rFonts w:hint="eastAsia" w:ascii="仿宋" w:hAnsi="仿宋" w:eastAsia="仿宋" w:cs="仿宋_GB2312"/>
          <w:sz w:val="32"/>
          <w:szCs w:val="32"/>
        </w:rPr>
        <w:t>3.52</w:t>
      </w:r>
      <w:r>
        <w:rPr>
          <w:rFonts w:ascii="仿宋" w:hAnsi="仿宋" w:eastAsia="仿宋" w:cs="仿宋_GB2312"/>
          <w:sz w:val="32"/>
          <w:szCs w:val="32"/>
        </w:rPr>
        <w:t>万元，比</w:t>
      </w:r>
      <w:r>
        <w:rPr>
          <w:rFonts w:hint="eastAsia" w:ascii="仿宋" w:hAnsi="仿宋" w:eastAsia="仿宋"/>
          <w:sz w:val="32"/>
          <w:szCs w:val="32"/>
        </w:rPr>
        <w:t>上年</w:t>
      </w:r>
      <w:r>
        <w:rPr>
          <w:rFonts w:ascii="仿宋" w:hAnsi="仿宋" w:eastAsia="仿宋" w:cs="仿宋_GB2312"/>
          <w:sz w:val="32"/>
          <w:szCs w:val="32"/>
        </w:rPr>
        <w:t>决算数</w:t>
      </w:r>
      <w:r>
        <w:rPr>
          <w:rFonts w:hint="eastAsia" w:ascii="仿宋" w:hAnsi="仿宋" w:eastAsia="仿宋" w:cs="仿宋_GB2312"/>
          <w:sz w:val="32"/>
          <w:szCs w:val="32"/>
        </w:rPr>
        <w:t>减少66.64</w:t>
      </w:r>
      <w:r>
        <w:rPr>
          <w:rFonts w:ascii="仿宋" w:hAnsi="仿宋" w:eastAsia="仿宋" w:cs="仿宋_GB2312"/>
          <w:sz w:val="32"/>
          <w:szCs w:val="32"/>
        </w:rPr>
        <w:t>%，主要是:</w:t>
      </w:r>
      <w:r>
        <w:rPr>
          <w:rFonts w:hint="eastAsia" w:ascii="仿宋" w:hAnsi="仿宋" w:eastAsia="仿宋" w:cs="仿宋_GB2312"/>
          <w:sz w:val="32"/>
          <w:szCs w:val="32"/>
        </w:rPr>
        <w:t>控制经费支出</w:t>
      </w:r>
      <w:r>
        <w:rPr>
          <w:rFonts w:ascii="仿宋" w:hAnsi="仿宋" w:eastAsia="仿宋" w:cs="仿宋_GB2312"/>
          <w:sz w:val="32"/>
          <w:szCs w:val="32"/>
        </w:rPr>
        <w:t>。</w:t>
      </w:r>
    </w:p>
    <w:p>
      <w:pPr>
        <w:autoSpaceDE w:val="0"/>
        <w:autoSpaceDN w:val="0"/>
        <w:adjustRightInd w:val="0"/>
        <w:spacing w:line="600" w:lineRule="exact"/>
        <w:ind w:firstLine="643" w:firstLineChars="200"/>
        <w:jc w:val="left"/>
        <w:rPr>
          <w:rFonts w:ascii="黑体" w:hAnsi="黑体" w:eastAsia="黑体" w:cs="仿宋_GB2312"/>
          <w:kern w:val="0"/>
          <w:sz w:val="32"/>
          <w:szCs w:val="32"/>
        </w:rPr>
      </w:pPr>
      <w:r>
        <w:rPr>
          <w:rFonts w:hint="eastAsia" w:ascii="楷体" w:hAnsi="楷体" w:eastAsia="楷体"/>
          <w:b/>
          <w:sz w:val="32"/>
          <w:szCs w:val="32"/>
        </w:rPr>
        <w:t>（二）政府采购情况</w:t>
      </w:r>
    </w:p>
    <w:p>
      <w:pPr>
        <w:autoSpaceDE w:val="0"/>
        <w:autoSpaceDN w:val="0"/>
        <w:adjustRightInd w:val="0"/>
        <w:spacing w:line="600" w:lineRule="exact"/>
        <w:ind w:firstLine="640" w:firstLineChars="200"/>
        <w:jc w:val="left"/>
        <w:rPr>
          <w:rFonts w:ascii="仿宋" w:hAnsi="仿宋" w:eastAsia="仿宋" w:cs="仿宋_GB2312"/>
          <w:kern w:val="0"/>
          <w:sz w:val="32"/>
          <w:szCs w:val="32"/>
        </w:rPr>
      </w:pPr>
      <w:r>
        <w:rPr>
          <w:rFonts w:hint="eastAsia" w:ascii="仿宋" w:hAnsi="仿宋" w:eastAsia="仿宋" w:cs="仿宋_GB2312"/>
          <w:kern w:val="0"/>
          <w:sz w:val="32"/>
          <w:szCs w:val="32"/>
        </w:rPr>
        <w:t>本部门</w:t>
      </w:r>
      <w:r>
        <w:rPr>
          <w:rFonts w:hint="eastAsia" w:ascii="仿宋" w:hAnsi="仿宋" w:eastAsia="仿宋"/>
          <w:sz w:val="32"/>
          <w:szCs w:val="32"/>
        </w:rPr>
        <w:t>2017</w:t>
      </w:r>
      <w:r>
        <w:rPr>
          <w:rFonts w:hint="eastAsia" w:ascii="仿宋" w:hAnsi="仿宋" w:eastAsia="仿宋" w:cs="仿宋_GB2312"/>
          <w:sz w:val="32"/>
          <w:szCs w:val="32"/>
        </w:rPr>
        <w:t>年度</w:t>
      </w:r>
      <w:r>
        <w:rPr>
          <w:rFonts w:ascii="仿宋" w:hAnsi="仿宋" w:eastAsia="仿宋" w:cs="仿宋_GB2312"/>
          <w:kern w:val="0"/>
          <w:sz w:val="32"/>
          <w:szCs w:val="32"/>
        </w:rPr>
        <w:t>政府采购支出总额</w:t>
      </w:r>
      <w:r>
        <w:rPr>
          <w:rFonts w:hint="eastAsia" w:ascii="仿宋" w:hAnsi="仿宋" w:eastAsia="仿宋" w:cs="仿宋_GB2312"/>
          <w:sz w:val="32"/>
          <w:szCs w:val="32"/>
        </w:rPr>
        <w:t>0.44</w:t>
      </w:r>
      <w:r>
        <w:rPr>
          <w:rFonts w:hint="eastAsia" w:ascii="仿宋" w:hAnsi="仿宋" w:eastAsia="仿宋" w:cs="仿宋_GB2312"/>
          <w:kern w:val="0"/>
          <w:sz w:val="32"/>
          <w:szCs w:val="32"/>
        </w:rPr>
        <w:t>万元，其中：政府采购货物支出</w:t>
      </w:r>
      <w:r>
        <w:rPr>
          <w:rFonts w:hint="eastAsia" w:ascii="仿宋" w:hAnsi="仿宋" w:eastAsia="仿宋" w:cs="仿宋_GB2312"/>
          <w:sz w:val="32"/>
          <w:szCs w:val="32"/>
        </w:rPr>
        <w:t>0.44</w:t>
      </w:r>
      <w:r>
        <w:rPr>
          <w:rFonts w:hint="eastAsia" w:ascii="仿宋" w:hAnsi="仿宋" w:eastAsia="仿宋" w:cs="仿宋_GB2312"/>
          <w:kern w:val="0"/>
          <w:sz w:val="32"/>
          <w:szCs w:val="32"/>
        </w:rPr>
        <w:t>万元、政府采购工程支出</w:t>
      </w:r>
      <w:r>
        <w:rPr>
          <w:rFonts w:hint="eastAsia" w:ascii="仿宋" w:hAnsi="仿宋" w:eastAsia="仿宋" w:cs="仿宋_GB2312"/>
          <w:sz w:val="32"/>
          <w:szCs w:val="32"/>
        </w:rPr>
        <w:t>0</w:t>
      </w:r>
      <w:r>
        <w:rPr>
          <w:rFonts w:hint="eastAsia" w:ascii="仿宋" w:hAnsi="仿宋" w:eastAsia="仿宋" w:cs="仿宋_GB2312"/>
          <w:kern w:val="0"/>
          <w:sz w:val="32"/>
          <w:szCs w:val="32"/>
        </w:rPr>
        <w:t>万元、政府采购服务支出</w:t>
      </w:r>
      <w:r>
        <w:rPr>
          <w:rFonts w:hint="eastAsia" w:ascii="仿宋" w:hAnsi="仿宋" w:eastAsia="仿宋" w:cs="仿宋_GB2312"/>
          <w:sz w:val="32"/>
          <w:szCs w:val="32"/>
        </w:rPr>
        <w:t>0</w:t>
      </w:r>
      <w:r>
        <w:rPr>
          <w:rFonts w:hint="eastAsia" w:ascii="仿宋" w:hAnsi="仿宋" w:eastAsia="仿宋" w:cs="仿宋_GB2312"/>
          <w:kern w:val="0"/>
          <w:sz w:val="32"/>
          <w:szCs w:val="32"/>
        </w:rPr>
        <w:t>万元。</w:t>
      </w:r>
    </w:p>
    <w:p>
      <w:pPr>
        <w:tabs>
          <w:tab w:val="left" w:pos="7513"/>
        </w:tabs>
        <w:adjustRightInd w:val="0"/>
        <w:snapToGrid w:val="0"/>
        <w:spacing w:line="600" w:lineRule="exact"/>
        <w:ind w:firstLine="707" w:firstLineChars="220"/>
        <w:rPr>
          <w:rFonts w:ascii="黑体" w:hAnsi="黑体" w:eastAsia="黑体" w:cs="Times New Roman"/>
          <w:sz w:val="32"/>
          <w:szCs w:val="32"/>
        </w:rPr>
      </w:pPr>
      <w:r>
        <w:rPr>
          <w:rFonts w:hint="eastAsia" w:ascii="楷体" w:hAnsi="楷体" w:eastAsia="楷体"/>
          <w:b/>
          <w:sz w:val="32"/>
          <w:szCs w:val="32"/>
        </w:rPr>
        <w:t>（三）国有资产占用使用情况</w:t>
      </w:r>
    </w:p>
    <w:p>
      <w:pPr>
        <w:tabs>
          <w:tab w:val="left" w:pos="7513"/>
        </w:tabs>
        <w:adjustRightInd w:val="0"/>
        <w:snapToGrid w:val="0"/>
        <w:spacing w:line="600" w:lineRule="exact"/>
        <w:ind w:firstLine="704" w:firstLineChars="220"/>
        <w:rPr>
          <w:rFonts w:ascii="仿宋" w:hAnsi="仿宋" w:eastAsia="仿宋" w:cs="仿宋_GB2312"/>
          <w:kern w:val="0"/>
          <w:sz w:val="32"/>
          <w:szCs w:val="32"/>
        </w:rPr>
      </w:pPr>
      <w:r>
        <w:rPr>
          <w:rFonts w:hint="eastAsia" w:ascii="仿宋" w:hAnsi="仿宋" w:eastAsia="仿宋" w:cs="仿宋_GB2312"/>
          <w:kern w:val="0"/>
          <w:sz w:val="32"/>
          <w:szCs w:val="32"/>
        </w:rPr>
        <w:t>截至</w:t>
      </w:r>
      <w:r>
        <w:rPr>
          <w:rFonts w:hint="eastAsia" w:ascii="仿宋" w:hAnsi="仿宋" w:eastAsia="仿宋"/>
          <w:sz w:val="32"/>
          <w:szCs w:val="32"/>
        </w:rPr>
        <w:t>2017</w:t>
      </w:r>
      <w:r>
        <w:rPr>
          <w:rFonts w:hint="eastAsia" w:ascii="仿宋" w:hAnsi="仿宋" w:eastAsia="仿宋" w:cs="仿宋_GB2312"/>
          <w:kern w:val="0"/>
          <w:sz w:val="32"/>
          <w:szCs w:val="32"/>
        </w:rPr>
        <w:t>年</w:t>
      </w:r>
      <w:r>
        <w:rPr>
          <w:rFonts w:ascii="仿宋" w:hAnsi="仿宋" w:eastAsia="仿宋" w:cs="仿宋_GB2312"/>
          <w:kern w:val="0"/>
          <w:sz w:val="32"/>
          <w:szCs w:val="32"/>
        </w:rPr>
        <w:t>12月31日，本部门共有车辆</w:t>
      </w:r>
      <w:r>
        <w:rPr>
          <w:rFonts w:hint="eastAsia" w:ascii="仿宋" w:hAnsi="仿宋" w:eastAsia="仿宋" w:cs="仿宋_GB2312"/>
          <w:sz w:val="32"/>
          <w:szCs w:val="32"/>
        </w:rPr>
        <w:t>3</w:t>
      </w:r>
      <w:r>
        <w:rPr>
          <w:rFonts w:hint="eastAsia" w:ascii="仿宋" w:hAnsi="仿宋" w:eastAsia="仿宋" w:cs="仿宋_GB2312"/>
          <w:kern w:val="0"/>
          <w:sz w:val="32"/>
          <w:szCs w:val="32"/>
        </w:rPr>
        <w:t>辆，其中：部级领导干部用车</w:t>
      </w:r>
      <w:r>
        <w:rPr>
          <w:rFonts w:hint="eastAsia" w:ascii="仿宋" w:hAnsi="仿宋" w:eastAsia="仿宋" w:cs="仿宋_GB2312"/>
          <w:sz w:val="32"/>
          <w:szCs w:val="32"/>
        </w:rPr>
        <w:t>0</w:t>
      </w:r>
      <w:r>
        <w:rPr>
          <w:rFonts w:hint="eastAsia" w:ascii="仿宋" w:hAnsi="仿宋" w:eastAsia="仿宋" w:cs="仿宋_GB2312"/>
          <w:kern w:val="0"/>
          <w:sz w:val="32"/>
          <w:szCs w:val="32"/>
        </w:rPr>
        <w:t>辆、一般公务用车</w:t>
      </w:r>
      <w:r>
        <w:rPr>
          <w:rFonts w:hint="eastAsia" w:ascii="仿宋" w:hAnsi="仿宋" w:eastAsia="仿宋" w:cs="仿宋_GB2312"/>
          <w:sz w:val="32"/>
          <w:szCs w:val="32"/>
        </w:rPr>
        <w:t>0</w:t>
      </w:r>
      <w:r>
        <w:rPr>
          <w:rFonts w:hint="eastAsia" w:ascii="仿宋" w:hAnsi="仿宋" w:eastAsia="仿宋" w:cs="仿宋_GB2312"/>
          <w:kern w:val="0"/>
          <w:sz w:val="32"/>
          <w:szCs w:val="32"/>
        </w:rPr>
        <w:t>辆、一般执法执勤用车</w:t>
      </w:r>
      <w:r>
        <w:rPr>
          <w:rFonts w:hint="eastAsia" w:ascii="仿宋" w:hAnsi="仿宋" w:eastAsia="仿宋" w:cs="仿宋_GB2312"/>
          <w:sz w:val="32"/>
          <w:szCs w:val="32"/>
        </w:rPr>
        <w:t>3</w:t>
      </w:r>
      <w:r>
        <w:rPr>
          <w:rFonts w:hint="eastAsia" w:ascii="仿宋" w:hAnsi="仿宋" w:eastAsia="仿宋" w:cs="仿宋_GB2312"/>
          <w:kern w:val="0"/>
          <w:sz w:val="32"/>
          <w:szCs w:val="32"/>
        </w:rPr>
        <w:t>辆、特种专业技术用车</w:t>
      </w:r>
      <w:r>
        <w:rPr>
          <w:rFonts w:hint="eastAsia" w:ascii="仿宋" w:hAnsi="仿宋" w:eastAsia="仿宋" w:cs="仿宋_GB2312"/>
          <w:sz w:val="32"/>
          <w:szCs w:val="32"/>
        </w:rPr>
        <w:t>0</w:t>
      </w:r>
      <w:r>
        <w:rPr>
          <w:rFonts w:hint="eastAsia" w:ascii="仿宋" w:hAnsi="仿宋" w:eastAsia="仿宋" w:cs="仿宋_GB2312"/>
          <w:kern w:val="0"/>
          <w:sz w:val="32"/>
          <w:szCs w:val="32"/>
        </w:rPr>
        <w:t>辆、其他用车</w:t>
      </w:r>
      <w:r>
        <w:rPr>
          <w:rFonts w:hint="eastAsia" w:ascii="仿宋" w:hAnsi="仿宋" w:eastAsia="仿宋" w:cs="仿宋_GB2312"/>
          <w:sz w:val="32"/>
          <w:szCs w:val="32"/>
        </w:rPr>
        <w:t>0</w:t>
      </w:r>
      <w:r>
        <w:rPr>
          <w:rFonts w:hint="eastAsia" w:ascii="仿宋" w:hAnsi="仿宋" w:eastAsia="仿宋" w:cs="仿宋_GB2312"/>
          <w:kern w:val="0"/>
          <w:sz w:val="32"/>
          <w:szCs w:val="32"/>
        </w:rPr>
        <w:t>辆；单价</w:t>
      </w:r>
      <w:r>
        <w:rPr>
          <w:rFonts w:ascii="仿宋" w:hAnsi="仿宋" w:eastAsia="仿宋" w:cs="仿宋_GB2312"/>
          <w:kern w:val="0"/>
          <w:sz w:val="32"/>
          <w:szCs w:val="32"/>
        </w:rPr>
        <w:t>50万元（含）以上通用设备</w:t>
      </w:r>
      <w:r>
        <w:rPr>
          <w:rFonts w:hint="eastAsia" w:ascii="仿宋" w:hAnsi="仿宋" w:eastAsia="仿宋" w:cs="仿宋_GB2312"/>
          <w:sz w:val="32"/>
          <w:szCs w:val="32"/>
        </w:rPr>
        <w:t>0</w:t>
      </w:r>
      <w:r>
        <w:rPr>
          <w:rFonts w:hint="eastAsia" w:ascii="仿宋" w:hAnsi="仿宋" w:eastAsia="仿宋" w:cs="仿宋_GB2312"/>
          <w:kern w:val="0"/>
          <w:sz w:val="32"/>
          <w:szCs w:val="32"/>
        </w:rPr>
        <w:t>台（套），单价</w:t>
      </w:r>
      <w:r>
        <w:rPr>
          <w:rFonts w:ascii="仿宋" w:hAnsi="仿宋" w:eastAsia="仿宋" w:cs="仿宋_GB2312"/>
          <w:kern w:val="0"/>
          <w:sz w:val="32"/>
          <w:szCs w:val="32"/>
        </w:rPr>
        <w:t>100万元（含）以上专用设备</w:t>
      </w:r>
      <w:r>
        <w:rPr>
          <w:rFonts w:hint="eastAsia" w:ascii="仿宋" w:hAnsi="仿宋" w:eastAsia="仿宋" w:cs="仿宋_GB2312"/>
          <w:sz w:val="32"/>
          <w:szCs w:val="32"/>
        </w:rPr>
        <w:t>0</w:t>
      </w:r>
      <w:r>
        <w:rPr>
          <w:rFonts w:hint="eastAsia" w:ascii="仿宋" w:hAnsi="仿宋" w:eastAsia="仿宋" w:cs="仿宋_GB2312"/>
          <w:kern w:val="0"/>
          <w:sz w:val="32"/>
          <w:szCs w:val="32"/>
        </w:rPr>
        <w:t>台（套）。</w:t>
      </w:r>
    </w:p>
    <w:p>
      <w:pPr>
        <w:tabs>
          <w:tab w:val="left" w:pos="7513"/>
        </w:tabs>
        <w:adjustRightInd w:val="0"/>
        <w:snapToGrid w:val="0"/>
        <w:spacing w:line="600" w:lineRule="exact"/>
        <w:ind w:firstLine="707" w:firstLineChars="220"/>
        <w:rPr>
          <w:rFonts w:ascii="楷体" w:hAnsi="楷体" w:eastAsia="楷体" w:cs="仿宋_GB2312"/>
          <w:b/>
          <w:bCs/>
          <w:sz w:val="32"/>
          <w:szCs w:val="32"/>
        </w:rPr>
      </w:pPr>
      <w:r>
        <w:rPr>
          <w:rFonts w:hint="eastAsia" w:ascii="楷体" w:hAnsi="楷体" w:eastAsia="楷体"/>
          <w:b/>
          <w:sz w:val="32"/>
          <w:szCs w:val="32"/>
        </w:rPr>
        <w:t>（四）</w:t>
      </w:r>
      <w:r>
        <w:rPr>
          <w:rFonts w:hint="eastAsia" w:ascii="楷体" w:hAnsi="楷体" w:eastAsia="楷体" w:cs="仿宋_GB2312"/>
          <w:b/>
          <w:bCs/>
          <w:sz w:val="32"/>
          <w:szCs w:val="32"/>
        </w:rPr>
        <w:t>项目绩效自评报告</w:t>
      </w:r>
    </w:p>
    <w:p>
      <w:pPr>
        <w:spacing w:line="520" w:lineRule="exact"/>
        <w:ind w:firstLine="800" w:firstLineChars="250"/>
        <w:rPr>
          <w:rFonts w:ascii="仿宋" w:hAnsi="仿宋" w:eastAsia="仿宋"/>
          <w:sz w:val="32"/>
          <w:szCs w:val="32"/>
        </w:rPr>
      </w:pPr>
      <w:r>
        <w:rPr>
          <w:rFonts w:hint="eastAsia" w:ascii="仿宋" w:hAnsi="仿宋" w:eastAsia="仿宋"/>
          <w:sz w:val="32"/>
          <w:szCs w:val="32"/>
        </w:rPr>
        <w:t>2017年区级财政预算安排我局部门业务经费共130万元，其中：安全生产专项整治及安全生产宣传教育专项经费70万元、安全生产办案经费10万元、重大事故应急救援经费50万元。新罗区安监局高度重视业务经费绩效自评工作，组成自评小组，对绩效评价相关资料进行核查，对照评价指标和评分标准，结合现场核查情况进行评议和打分，形成考评意见。3个项目中除重大事故应急救援经费项目由于无重大事故未投入资金，其他2个项目均较好地完成了预定的绩效目标，在投入、产出和效益等方面取得了一定的成效。</w:t>
      </w:r>
    </w:p>
    <w:p>
      <w:pPr>
        <w:spacing w:line="520" w:lineRule="exact"/>
        <w:ind w:firstLine="640" w:firstLineChars="200"/>
        <w:rPr>
          <w:rFonts w:ascii="仿宋" w:hAnsi="仿宋" w:eastAsia="仿宋"/>
          <w:sz w:val="32"/>
          <w:szCs w:val="32"/>
        </w:rPr>
      </w:pPr>
      <w:r>
        <w:rPr>
          <w:rFonts w:hint="eastAsia" w:ascii="仿宋" w:hAnsi="仿宋" w:eastAsia="仿宋"/>
          <w:sz w:val="32"/>
          <w:szCs w:val="32"/>
        </w:rPr>
        <w:t>（一）目标完成情况：</w:t>
      </w:r>
    </w:p>
    <w:p>
      <w:pPr>
        <w:spacing w:line="520" w:lineRule="exact"/>
        <w:ind w:firstLine="640" w:firstLineChars="200"/>
        <w:rPr>
          <w:rFonts w:ascii="仿宋" w:hAnsi="仿宋" w:eastAsia="仿宋"/>
          <w:sz w:val="32"/>
          <w:szCs w:val="32"/>
        </w:rPr>
      </w:pPr>
      <w:r>
        <w:rPr>
          <w:rFonts w:hint="eastAsia" w:ascii="仿宋" w:hAnsi="仿宋" w:eastAsia="仿宋"/>
          <w:sz w:val="32"/>
          <w:szCs w:val="32"/>
        </w:rPr>
        <w:t>1、安全生产专项整治及安全生产宣传教育专项经费</w:t>
      </w:r>
    </w:p>
    <w:p>
      <w:pPr>
        <w:spacing w:line="520" w:lineRule="exact"/>
        <w:ind w:firstLine="800" w:firstLineChars="250"/>
        <w:rPr>
          <w:rFonts w:ascii="仿宋" w:hAnsi="仿宋" w:eastAsia="仿宋"/>
          <w:sz w:val="32"/>
          <w:szCs w:val="32"/>
        </w:rPr>
      </w:pPr>
      <w:r>
        <w:rPr>
          <w:rFonts w:hint="eastAsia" w:ascii="仿宋" w:hAnsi="仿宋" w:eastAsia="仿宋"/>
          <w:sz w:val="32"/>
          <w:szCs w:val="32"/>
        </w:rPr>
        <w:t>（1）时效目标为资金已到位，资金按进度使用已完成；（2）成本目标为投入安全生产专项整治及安全生产宣传教育专项经费70万元，实际投入70万元，该目标已完成；（3）数量目标为安全生产专项整治检查企业数600家次，发放宣传材料10000份，区级及以上媒体发表简讯信息数量100篇，专家参与安全检查的企业数200家次都已完成；（4）质量目标为安全隐患整改率按文件要求完成100%，安全标准化评审达标率按文件要求完成65%；（5）效益目标为全区经济社会发展创造良好的安全生产环境，提升了企业安全生产管理水平，企业树立了科学发展、安全发展的理念安全形势稳定好转，此项目标已完成。</w:t>
      </w:r>
    </w:p>
    <w:p>
      <w:pPr>
        <w:spacing w:line="520" w:lineRule="exact"/>
        <w:ind w:firstLine="800" w:firstLineChars="250"/>
        <w:rPr>
          <w:rFonts w:ascii="仿宋" w:hAnsi="仿宋" w:eastAsia="仿宋"/>
          <w:sz w:val="32"/>
          <w:szCs w:val="32"/>
        </w:rPr>
      </w:pPr>
      <w:r>
        <w:rPr>
          <w:rFonts w:hint="eastAsia" w:ascii="仿宋" w:hAnsi="仿宋" w:eastAsia="仿宋"/>
          <w:sz w:val="32"/>
          <w:szCs w:val="32"/>
        </w:rPr>
        <w:t xml:space="preserve">2、安全生产办案经费 </w:t>
      </w:r>
    </w:p>
    <w:p>
      <w:pPr>
        <w:spacing w:line="520" w:lineRule="exact"/>
        <w:ind w:firstLine="480" w:firstLineChars="150"/>
        <w:rPr>
          <w:rFonts w:ascii="仿宋" w:hAnsi="仿宋" w:eastAsia="仿宋"/>
          <w:sz w:val="32"/>
          <w:szCs w:val="32"/>
        </w:rPr>
      </w:pPr>
      <w:r>
        <w:rPr>
          <w:rFonts w:hint="eastAsia" w:ascii="仿宋" w:hAnsi="仿宋" w:eastAsia="仿宋"/>
          <w:sz w:val="32"/>
          <w:szCs w:val="32"/>
        </w:rPr>
        <w:t xml:space="preserve">（1）时效目标为资金已到位，资金按进度使用已完成；（2）成本目标为投入安全生产办案经费10万元，实际投入10万元，该目标已完成；（3）数量目标为安全生产执法检查企业数按工作计划≥600家次已完成；（4）质量目标为安全隐患整改率按工作计划完成100%，安全生产事故按文件要求无事故，17年发生非煤矿山事故一起该目标未完成；（5）效益目标为全区经济社会发展创造良好的安全生产环境，提升了企业安全生产管理水平，企业树立了科学发展、安全发展的理念安全形势稳定好转，此项目标已完成。             </w:t>
      </w:r>
    </w:p>
    <w:p>
      <w:pPr>
        <w:spacing w:line="520" w:lineRule="exact"/>
        <w:ind w:firstLine="800" w:firstLineChars="250"/>
        <w:rPr>
          <w:rFonts w:ascii="仿宋" w:hAnsi="仿宋" w:eastAsia="仿宋"/>
          <w:sz w:val="32"/>
          <w:szCs w:val="32"/>
        </w:rPr>
      </w:pPr>
      <w:r>
        <w:rPr>
          <w:rFonts w:hint="eastAsia" w:ascii="仿宋" w:hAnsi="仿宋" w:eastAsia="仿宋"/>
          <w:sz w:val="32"/>
          <w:szCs w:val="32"/>
        </w:rPr>
        <w:t>（二）资金使用管理情况</w:t>
      </w:r>
    </w:p>
    <w:p>
      <w:pPr>
        <w:spacing w:line="520" w:lineRule="exact"/>
        <w:ind w:firstLine="800" w:firstLineChars="250"/>
        <w:rPr>
          <w:rFonts w:ascii="仿宋" w:hAnsi="仿宋" w:eastAsia="仿宋"/>
          <w:sz w:val="32"/>
          <w:szCs w:val="32"/>
        </w:rPr>
      </w:pPr>
      <w:r>
        <w:rPr>
          <w:rFonts w:hint="eastAsia" w:ascii="仿宋" w:hAnsi="仿宋" w:eastAsia="仿宋"/>
          <w:sz w:val="32"/>
          <w:szCs w:val="32"/>
        </w:rPr>
        <w:t>1、安全生产专项整治及安全生产宣传教育专项经费主要用于我局聘用驾驶员、内勤人员的工资费用；我局租赁天宇集团办公场所租金及水电费；支付新罗区政府安全专家组日常经费；支付安全生产宣传教育下乡活动、安全生产培训工作和各项安全专项整治工作费用；用于新罗区重大危险监控平台的维护。资金的使用按照预算的安排进行，资金下拨及支出进度相匹配。</w:t>
      </w:r>
    </w:p>
    <w:p>
      <w:pPr>
        <w:spacing w:line="520" w:lineRule="exact"/>
        <w:ind w:firstLine="800" w:firstLineChars="250"/>
        <w:rPr>
          <w:rFonts w:ascii="仿宋" w:hAnsi="仿宋" w:eastAsia="仿宋"/>
          <w:sz w:val="32"/>
          <w:szCs w:val="32"/>
        </w:rPr>
      </w:pPr>
      <w:r>
        <w:rPr>
          <w:rFonts w:hint="eastAsia" w:ascii="仿宋" w:hAnsi="仿宋" w:eastAsia="仿宋"/>
          <w:sz w:val="32"/>
          <w:szCs w:val="32"/>
        </w:rPr>
        <w:t>2、安全生产办案经费主要用于我局安全生产执法经费的投入，排查安全生产事故隐患，减少安全生事故、降低死亡人数，同时保障我局安全专项整治、重大危险源监控等各项业务的有效开展。资金的使用按照预算的安排进行，资金下拨及支出进度相匹配。</w:t>
      </w:r>
    </w:p>
    <w:p>
      <w:pPr>
        <w:spacing w:line="520" w:lineRule="exact"/>
        <w:ind w:firstLine="640" w:firstLineChars="200"/>
        <w:rPr>
          <w:rFonts w:ascii="仿宋" w:hAnsi="仿宋" w:eastAsia="仿宋"/>
          <w:sz w:val="32"/>
          <w:szCs w:val="32"/>
        </w:rPr>
      </w:pPr>
      <w:r>
        <w:rPr>
          <w:rFonts w:hint="eastAsia" w:ascii="仿宋" w:hAnsi="仿宋" w:eastAsia="仿宋"/>
          <w:sz w:val="32"/>
          <w:szCs w:val="32"/>
        </w:rPr>
        <w:t>（三）存在的主要问题</w:t>
      </w:r>
    </w:p>
    <w:p>
      <w:pPr>
        <w:spacing w:line="520" w:lineRule="exact"/>
        <w:ind w:firstLine="800" w:firstLineChars="250"/>
        <w:rPr>
          <w:rFonts w:ascii="仿宋" w:hAnsi="仿宋" w:eastAsia="仿宋"/>
          <w:sz w:val="32"/>
          <w:szCs w:val="32"/>
        </w:rPr>
      </w:pPr>
      <w:r>
        <w:rPr>
          <w:rFonts w:hint="eastAsia" w:ascii="仿宋" w:hAnsi="仿宋" w:eastAsia="仿宋"/>
          <w:sz w:val="32"/>
          <w:szCs w:val="32"/>
        </w:rPr>
        <w:t>安全生产专项整治及安全生产宣传教育专项经费存在的主要问题是个别企业安全生产主体责任落实不到位，部分企业特别是中小企业负责人安全意识不强，安全生产投入不足，重生产，轻安全现象仍普遍存在，普遍存在安全生产建章立制、隐患整改不及时不彻底、全员培训教育不到位等问题。</w:t>
      </w:r>
    </w:p>
    <w:p>
      <w:pPr>
        <w:spacing w:line="520" w:lineRule="exact"/>
        <w:ind w:firstLine="640" w:firstLineChars="200"/>
        <w:rPr>
          <w:rFonts w:ascii="仿宋" w:hAnsi="仿宋" w:eastAsia="仿宋"/>
          <w:sz w:val="32"/>
          <w:szCs w:val="32"/>
        </w:rPr>
      </w:pPr>
      <w:r>
        <w:rPr>
          <w:rFonts w:hint="eastAsia" w:ascii="仿宋" w:hAnsi="仿宋" w:eastAsia="仿宋"/>
          <w:sz w:val="32"/>
          <w:szCs w:val="32"/>
        </w:rPr>
        <w:t>（四）相关意见建议</w:t>
      </w:r>
    </w:p>
    <w:p>
      <w:pPr>
        <w:spacing w:line="520" w:lineRule="exact"/>
        <w:ind w:firstLine="640" w:firstLineChars="200"/>
        <w:rPr>
          <w:rFonts w:ascii="仿宋" w:hAnsi="仿宋" w:eastAsia="仿宋"/>
          <w:sz w:val="32"/>
          <w:szCs w:val="32"/>
        </w:rPr>
      </w:pPr>
      <w:r>
        <w:rPr>
          <w:rFonts w:hint="eastAsia" w:ascii="仿宋" w:hAnsi="仿宋" w:eastAsia="仿宋"/>
          <w:sz w:val="32"/>
          <w:szCs w:val="32"/>
        </w:rPr>
        <w:t>扎实开展专项整治，全面开展覆盖各行业领域的安全生产大排查大整治，同时抓好检查发现问题和隐患的整改落实，真正做到隐患排查不留死角、不留盲区，各行业专项整治不留后患；强化安全生产宣传培训，广泛开展群众性的安全生产宣传教育活动，全面开展面对面宣传教育，普及安全风险防控知识；定期召开各行业领域培训班，全员安全培训，继续督促企业落实安全生产主体责任。</w:t>
      </w:r>
    </w:p>
    <w:p>
      <w:pPr>
        <w:spacing w:line="520" w:lineRule="exact"/>
        <w:ind w:firstLine="640" w:firstLineChars="200"/>
        <w:rPr>
          <w:rFonts w:ascii="仿宋" w:hAnsi="仿宋" w:eastAsia="仿宋"/>
          <w:sz w:val="32"/>
          <w:szCs w:val="32"/>
        </w:rPr>
      </w:pPr>
      <w:r>
        <w:rPr>
          <w:rFonts w:hint="eastAsia" w:ascii="仿宋" w:hAnsi="仿宋" w:eastAsia="仿宋" w:cs="仿宋_GB2312"/>
          <w:bCs/>
          <w:sz w:val="32"/>
          <w:szCs w:val="32"/>
        </w:rPr>
        <w:t>(新罗区安监局部门业务费绩效自评表见附件)</w:t>
      </w:r>
      <w:r>
        <w:rPr>
          <w:rFonts w:ascii="仿宋" w:hAnsi="仿宋" w:eastAsia="仿宋" w:cs="仿宋_GB2312"/>
          <w:bCs/>
          <w:sz w:val="32"/>
          <w:szCs w:val="32"/>
        </w:rPr>
        <w:br/>
      </w:r>
      <w:r>
        <w:rPr>
          <w:rFonts w:hint="eastAsia" w:ascii="黑体" w:hAnsi="黑体" w:eastAsia="黑体" w:cs="仿宋_GB2312"/>
          <w:kern w:val="0"/>
          <w:sz w:val="32"/>
          <w:szCs w:val="32"/>
        </w:rPr>
        <w:t>十、名词解释</w:t>
      </w:r>
    </w:p>
    <w:p>
      <w:pPr>
        <w:spacing w:line="600" w:lineRule="exact"/>
        <w:ind w:firstLine="707" w:firstLineChars="221"/>
        <w:rPr>
          <w:rFonts w:ascii="仿宋" w:hAnsi="仿宋" w:eastAsia="仿宋" w:cs="仿宋"/>
          <w:color w:val="000000"/>
          <w:kern w:val="0"/>
          <w:sz w:val="32"/>
          <w:szCs w:val="32"/>
        </w:rPr>
      </w:pPr>
      <w:r>
        <w:rPr>
          <w:rFonts w:hint="eastAsia" w:ascii="仿宋" w:hAnsi="仿宋" w:eastAsia="仿宋" w:cs="仿宋"/>
          <w:color w:val="000000"/>
          <w:kern w:val="0"/>
          <w:sz w:val="32"/>
          <w:szCs w:val="32"/>
        </w:rPr>
        <w:t xml:space="preserve">（一）财政拨款收入：指区级财政当年拨付的资金。 </w:t>
      </w:r>
    </w:p>
    <w:p>
      <w:pPr>
        <w:spacing w:line="600" w:lineRule="exact"/>
        <w:ind w:firstLine="707" w:firstLineChars="221"/>
        <w:rPr>
          <w:rFonts w:ascii="仿宋" w:hAnsi="仿宋" w:eastAsia="仿宋" w:cs="仿宋"/>
          <w:color w:val="000000"/>
          <w:kern w:val="0"/>
          <w:sz w:val="32"/>
          <w:szCs w:val="32"/>
        </w:rPr>
      </w:pPr>
      <w:r>
        <w:rPr>
          <w:rFonts w:hint="eastAsia" w:ascii="仿宋" w:hAnsi="仿宋" w:eastAsia="仿宋" w:cs="仿宋"/>
          <w:color w:val="000000"/>
          <w:kern w:val="0"/>
          <w:sz w:val="32"/>
          <w:szCs w:val="32"/>
        </w:rPr>
        <w:t>（二）事业收入：指事业单位开展专业业务活动及辅助活动所取得的收入。</w:t>
      </w:r>
    </w:p>
    <w:p>
      <w:pPr>
        <w:spacing w:line="600" w:lineRule="exact"/>
        <w:ind w:firstLine="707" w:firstLineChars="221"/>
        <w:rPr>
          <w:rFonts w:ascii="仿宋" w:hAnsi="仿宋" w:eastAsia="仿宋" w:cs="仿宋"/>
          <w:color w:val="000000"/>
          <w:kern w:val="0"/>
          <w:sz w:val="32"/>
          <w:szCs w:val="32"/>
        </w:rPr>
      </w:pPr>
      <w:r>
        <w:rPr>
          <w:rFonts w:hint="eastAsia" w:ascii="仿宋" w:hAnsi="仿宋" w:eastAsia="仿宋" w:cs="仿宋"/>
          <w:color w:val="000000"/>
          <w:kern w:val="0"/>
          <w:sz w:val="32"/>
          <w:szCs w:val="32"/>
        </w:rPr>
        <w:t xml:space="preserve">（三）经营收入：指事业单位在专业业务活动及其辅助活动之外开展非独立核算经营活动取得的收入。 </w:t>
      </w:r>
    </w:p>
    <w:p>
      <w:pPr>
        <w:spacing w:line="600" w:lineRule="exact"/>
        <w:ind w:firstLine="707" w:firstLineChars="221"/>
        <w:rPr>
          <w:rFonts w:ascii="仿宋" w:hAnsi="仿宋" w:eastAsia="仿宋" w:cs="仿宋"/>
          <w:color w:val="000000"/>
          <w:kern w:val="0"/>
          <w:sz w:val="32"/>
          <w:szCs w:val="32"/>
        </w:rPr>
      </w:pPr>
      <w:r>
        <w:rPr>
          <w:rFonts w:hint="eastAsia" w:ascii="仿宋" w:hAnsi="仿宋" w:eastAsia="仿宋" w:cs="仿宋"/>
          <w:color w:val="000000"/>
          <w:kern w:val="0"/>
          <w:sz w:val="32"/>
          <w:szCs w:val="32"/>
        </w:rPr>
        <w:t>（四）其他收入：指除上述</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财政拨款收入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事业收入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经营收入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 xml:space="preserve">等以外的收入。主要是按规定动用的售房收入、存款利息收入等。 </w:t>
      </w:r>
    </w:p>
    <w:p>
      <w:pPr>
        <w:spacing w:line="600" w:lineRule="exact"/>
        <w:ind w:firstLine="707" w:firstLineChars="221"/>
        <w:rPr>
          <w:rFonts w:ascii="仿宋" w:hAnsi="仿宋" w:eastAsia="仿宋" w:cs="仿宋"/>
          <w:color w:val="000000"/>
          <w:kern w:val="0"/>
          <w:sz w:val="32"/>
          <w:szCs w:val="32"/>
        </w:rPr>
      </w:pPr>
      <w:r>
        <w:rPr>
          <w:rFonts w:hint="eastAsia" w:ascii="仿宋" w:hAnsi="仿宋" w:eastAsia="仿宋" w:cs="仿宋"/>
          <w:color w:val="000000"/>
          <w:kern w:val="0"/>
          <w:sz w:val="32"/>
          <w:szCs w:val="32"/>
        </w:rPr>
        <w:t>（五）用事业基金弥补收支差额：指事业单位在当年的</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财政拨款收入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事业收入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经营收入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其他收入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 xml:space="preserve">不足以安排当年支出的情况下，使用以前年度积累的事业基金（事业单位当年收支相抵后按国家规定提取、用于弥补以后年度收支差额的基金）弥补本年度收支缺口的资金。 </w:t>
      </w:r>
    </w:p>
    <w:p>
      <w:pPr>
        <w:spacing w:line="600" w:lineRule="exact"/>
        <w:ind w:firstLine="707" w:firstLineChars="221"/>
        <w:rPr>
          <w:rFonts w:ascii="仿宋" w:hAnsi="仿宋" w:eastAsia="仿宋" w:cs="仿宋"/>
          <w:color w:val="000000"/>
          <w:kern w:val="0"/>
          <w:sz w:val="32"/>
          <w:szCs w:val="32"/>
        </w:rPr>
      </w:pPr>
      <w:r>
        <w:rPr>
          <w:rFonts w:hint="eastAsia" w:ascii="仿宋" w:hAnsi="仿宋" w:eastAsia="仿宋" w:cs="仿宋"/>
          <w:color w:val="000000"/>
          <w:kern w:val="0"/>
          <w:sz w:val="32"/>
          <w:szCs w:val="32"/>
        </w:rPr>
        <w:t>（六）年初结转和结余：指以前年度尚未完成、结转到本年按有关规定继续使用的资金。</w:t>
      </w:r>
    </w:p>
    <w:p>
      <w:pPr>
        <w:pStyle w:val="5"/>
        <w:spacing w:line="600" w:lineRule="exact"/>
        <w:ind w:firstLine="640"/>
        <w:rPr>
          <w:rFonts w:hAnsi="仿宋"/>
          <w:sz w:val="32"/>
          <w:szCs w:val="32"/>
        </w:rPr>
      </w:pPr>
      <w:r>
        <w:rPr>
          <w:rFonts w:hint="eastAsia" w:hAnsi="仿宋"/>
          <w:sz w:val="32"/>
          <w:szCs w:val="32"/>
        </w:rPr>
        <w:t xml:space="preserve">（七）结余分配：指事业单位按规定提取的职工福利基金、事业基金和缴纳的所得税，以及建设单位按规定应交回的基本建设竣工项目结余资金。 </w:t>
      </w:r>
    </w:p>
    <w:p>
      <w:pPr>
        <w:pStyle w:val="5"/>
        <w:spacing w:line="600" w:lineRule="exact"/>
        <w:ind w:firstLine="640"/>
        <w:rPr>
          <w:rFonts w:hAnsi="仿宋"/>
          <w:sz w:val="32"/>
          <w:szCs w:val="32"/>
        </w:rPr>
      </w:pPr>
      <w:r>
        <w:rPr>
          <w:rFonts w:hint="eastAsia" w:hAnsi="仿宋"/>
          <w:sz w:val="32"/>
          <w:szCs w:val="32"/>
        </w:rPr>
        <w:t xml:space="preserve">（八）年末结转和结余：指本年度或以前年度预算安排、因客观条件发生变化无法按原计划实施，需延迟到以后年度按有关规定继续使用的资金。 </w:t>
      </w:r>
    </w:p>
    <w:p>
      <w:pPr>
        <w:pStyle w:val="5"/>
        <w:spacing w:line="600" w:lineRule="exact"/>
        <w:ind w:firstLine="640"/>
        <w:rPr>
          <w:rFonts w:hAnsi="仿宋"/>
          <w:sz w:val="32"/>
          <w:szCs w:val="32"/>
        </w:rPr>
      </w:pPr>
      <w:r>
        <w:rPr>
          <w:rFonts w:hint="eastAsia" w:hAnsi="仿宋"/>
          <w:sz w:val="32"/>
          <w:szCs w:val="32"/>
        </w:rPr>
        <w:t xml:space="preserve">（九）基本支出：指为保障机构正常运转、完成日常工作任务而发生的人员支出和公用支出。 </w:t>
      </w:r>
    </w:p>
    <w:p>
      <w:pPr>
        <w:pStyle w:val="5"/>
        <w:spacing w:line="600" w:lineRule="exact"/>
        <w:ind w:firstLine="640"/>
        <w:rPr>
          <w:rFonts w:hAnsi="仿宋"/>
          <w:sz w:val="32"/>
          <w:szCs w:val="32"/>
        </w:rPr>
      </w:pPr>
      <w:r>
        <w:rPr>
          <w:rFonts w:hint="eastAsia" w:hAnsi="仿宋"/>
          <w:sz w:val="32"/>
          <w:szCs w:val="32"/>
        </w:rPr>
        <w:t xml:space="preserve">（十）项目支出：指在基本支出之外为完成特定行政任务和事业发展目标所发生的支出。 </w:t>
      </w:r>
    </w:p>
    <w:p>
      <w:pPr>
        <w:pStyle w:val="5"/>
        <w:spacing w:line="600" w:lineRule="exact"/>
        <w:ind w:firstLine="640"/>
        <w:rPr>
          <w:rFonts w:hAnsi="仿宋"/>
          <w:sz w:val="32"/>
          <w:szCs w:val="32"/>
        </w:rPr>
      </w:pPr>
      <w:r>
        <w:rPr>
          <w:rFonts w:hint="eastAsia" w:hAnsi="仿宋"/>
          <w:sz w:val="32"/>
          <w:szCs w:val="32"/>
        </w:rPr>
        <w:t xml:space="preserve">（十一）经营支出：指事业单位在专业业务活动及其辅助活动之外开展非独立核算经营活动发生的支出。 </w:t>
      </w:r>
    </w:p>
    <w:p>
      <w:pPr>
        <w:pStyle w:val="5"/>
        <w:spacing w:line="600" w:lineRule="exact"/>
        <w:ind w:firstLine="640"/>
        <w:rPr>
          <w:rFonts w:hAnsi="仿宋"/>
          <w:sz w:val="32"/>
          <w:szCs w:val="32"/>
        </w:rPr>
      </w:pPr>
      <w:r>
        <w:rPr>
          <w:rFonts w:hint="eastAsia" w:hAnsi="仿宋"/>
          <w:sz w:val="32"/>
          <w:szCs w:val="32"/>
        </w:rPr>
        <w:t>（十二）</w:t>
      </w:r>
      <w:r>
        <w:rPr>
          <w:rFonts w:hAnsi="仿宋"/>
          <w:sz w:val="32"/>
          <w:szCs w:val="32"/>
        </w:rPr>
        <w:t>“</w:t>
      </w:r>
      <w:r>
        <w:rPr>
          <w:rFonts w:hint="eastAsia" w:hAnsi="仿宋"/>
          <w:sz w:val="32"/>
          <w:szCs w:val="32"/>
        </w:rPr>
        <w:t>三公</w:t>
      </w:r>
      <w:r>
        <w:rPr>
          <w:rFonts w:hAnsi="仿宋"/>
          <w:sz w:val="32"/>
          <w:szCs w:val="32"/>
        </w:rPr>
        <w:t>”</w:t>
      </w:r>
      <w:r>
        <w:rPr>
          <w:rFonts w:hint="eastAsia" w:hAnsi="仿宋"/>
          <w:sz w:val="32"/>
          <w:szCs w:val="32"/>
        </w:rPr>
        <w:t>经费：纳入区级财政预决算管理的</w:t>
      </w:r>
      <w:r>
        <w:rPr>
          <w:rFonts w:hAnsi="仿宋"/>
          <w:sz w:val="32"/>
          <w:szCs w:val="32"/>
        </w:rPr>
        <w:t>“</w:t>
      </w:r>
      <w:r>
        <w:rPr>
          <w:rFonts w:hint="eastAsia" w:hAnsi="仿宋"/>
          <w:sz w:val="32"/>
          <w:szCs w:val="32"/>
        </w:rPr>
        <w:t>三公</w:t>
      </w:r>
      <w:r>
        <w:rPr>
          <w:rFonts w:hAnsi="仿宋"/>
          <w:sz w:val="32"/>
          <w:szCs w:val="32"/>
        </w:rPr>
        <w:t>”</w:t>
      </w:r>
      <w:r>
        <w:rPr>
          <w:rFonts w:hint="eastAsia" w:hAnsi="仿宋"/>
          <w:sz w:val="32"/>
          <w:szCs w:val="32"/>
        </w:rPr>
        <w:t xml:space="preserve">经费，是指区级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 </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十三）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ind w:firstLine="640" w:firstLineChars="200"/>
        <w:rPr>
          <w:rFonts w:ascii="仿宋" w:hAnsi="仿宋" w:eastAsia="仿宋"/>
          <w:sz w:val="32"/>
          <w:szCs w:val="32"/>
        </w:rPr>
      </w:pPr>
    </w:p>
    <w:p>
      <w:pPr>
        <w:spacing w:line="600" w:lineRule="exact"/>
        <w:ind w:firstLine="584" w:firstLineChars="200"/>
        <w:rPr>
          <w:rFonts w:ascii="仿宋" w:hAnsi="仿宋" w:eastAsia="仿宋"/>
          <w:spacing w:val="-14"/>
          <w:sz w:val="32"/>
          <w:szCs w:val="32"/>
        </w:rPr>
      </w:pPr>
      <w:r>
        <w:rPr>
          <w:rFonts w:hint="eastAsia" w:ascii="仿宋" w:hAnsi="仿宋" w:eastAsia="仿宋"/>
          <w:spacing w:val="-14"/>
          <w:sz w:val="32"/>
          <w:szCs w:val="32"/>
        </w:rPr>
        <w:t>附表：</w:t>
      </w:r>
      <w:r>
        <w:rPr>
          <w:rFonts w:ascii="仿宋" w:hAnsi="仿宋" w:eastAsia="仿宋"/>
          <w:spacing w:val="-14"/>
          <w:sz w:val="32"/>
          <w:szCs w:val="32"/>
        </w:rPr>
        <w:t>4-1××年度收支决算总表</w:t>
      </w:r>
    </w:p>
    <w:p>
      <w:pPr>
        <w:spacing w:line="600" w:lineRule="exact"/>
        <w:ind w:firstLine="1460" w:firstLineChars="500"/>
        <w:rPr>
          <w:rFonts w:ascii="仿宋" w:hAnsi="仿宋" w:eastAsia="仿宋"/>
          <w:spacing w:val="-14"/>
          <w:sz w:val="32"/>
          <w:szCs w:val="32"/>
        </w:rPr>
      </w:pPr>
      <w:r>
        <w:rPr>
          <w:rFonts w:ascii="仿宋" w:hAnsi="仿宋" w:eastAsia="仿宋"/>
          <w:spacing w:val="-14"/>
          <w:sz w:val="32"/>
          <w:szCs w:val="32"/>
        </w:rPr>
        <w:t>4-2××年度收入决算表</w:t>
      </w:r>
    </w:p>
    <w:p>
      <w:pPr>
        <w:spacing w:line="600" w:lineRule="exact"/>
        <w:ind w:firstLine="1460" w:firstLineChars="500"/>
        <w:rPr>
          <w:rFonts w:ascii="仿宋" w:hAnsi="仿宋" w:eastAsia="仿宋"/>
          <w:spacing w:val="-14"/>
          <w:sz w:val="32"/>
          <w:szCs w:val="32"/>
        </w:rPr>
      </w:pPr>
      <w:r>
        <w:rPr>
          <w:rFonts w:ascii="仿宋" w:hAnsi="仿宋" w:eastAsia="仿宋"/>
          <w:spacing w:val="-14"/>
          <w:sz w:val="32"/>
          <w:szCs w:val="32"/>
        </w:rPr>
        <w:t>4-3××年度支出决算表</w:t>
      </w:r>
    </w:p>
    <w:p>
      <w:pPr>
        <w:spacing w:line="600" w:lineRule="exact"/>
        <w:ind w:firstLine="1460" w:firstLineChars="500"/>
        <w:rPr>
          <w:rFonts w:ascii="仿宋" w:hAnsi="仿宋" w:eastAsia="仿宋"/>
          <w:spacing w:val="-14"/>
          <w:sz w:val="32"/>
          <w:szCs w:val="32"/>
        </w:rPr>
      </w:pPr>
      <w:r>
        <w:rPr>
          <w:rFonts w:ascii="仿宋" w:hAnsi="仿宋" w:eastAsia="仿宋"/>
          <w:spacing w:val="-14"/>
          <w:sz w:val="32"/>
          <w:szCs w:val="32"/>
        </w:rPr>
        <w:t>4-4××年度财政拨款收支决算总表</w:t>
      </w:r>
    </w:p>
    <w:p>
      <w:pPr>
        <w:spacing w:line="600" w:lineRule="exact"/>
        <w:ind w:firstLine="1460" w:firstLineChars="500"/>
        <w:rPr>
          <w:rFonts w:ascii="仿宋" w:hAnsi="仿宋" w:eastAsia="仿宋"/>
          <w:spacing w:val="-14"/>
          <w:sz w:val="32"/>
          <w:szCs w:val="32"/>
        </w:rPr>
      </w:pPr>
      <w:r>
        <w:rPr>
          <w:rFonts w:ascii="仿宋" w:hAnsi="仿宋" w:eastAsia="仿宋"/>
          <w:spacing w:val="-14"/>
          <w:sz w:val="32"/>
          <w:szCs w:val="32"/>
        </w:rPr>
        <w:t>4-5××年度一般公共财政拨款支出决算表</w:t>
      </w:r>
    </w:p>
    <w:p>
      <w:pPr>
        <w:spacing w:line="600" w:lineRule="exact"/>
        <w:ind w:firstLine="1460" w:firstLineChars="500"/>
        <w:rPr>
          <w:rFonts w:ascii="仿宋" w:hAnsi="仿宋" w:eastAsia="仿宋"/>
          <w:spacing w:val="-14"/>
          <w:sz w:val="32"/>
          <w:szCs w:val="32"/>
        </w:rPr>
      </w:pPr>
      <w:r>
        <w:rPr>
          <w:rFonts w:ascii="仿宋" w:hAnsi="仿宋" w:eastAsia="仿宋"/>
          <w:spacing w:val="-14"/>
          <w:sz w:val="32"/>
          <w:szCs w:val="32"/>
        </w:rPr>
        <w:t>4-6××年度一般公共预算支出经济分类决算情况表</w:t>
      </w:r>
    </w:p>
    <w:p>
      <w:pPr>
        <w:spacing w:line="600" w:lineRule="exact"/>
        <w:ind w:firstLine="1496" w:firstLineChars="550"/>
        <w:rPr>
          <w:rFonts w:ascii="仿宋" w:hAnsi="仿宋" w:eastAsia="仿宋"/>
          <w:spacing w:val="-24"/>
          <w:sz w:val="32"/>
          <w:szCs w:val="32"/>
        </w:rPr>
      </w:pPr>
      <w:r>
        <w:rPr>
          <w:rFonts w:ascii="仿宋" w:hAnsi="仿宋" w:eastAsia="仿宋"/>
          <w:spacing w:val="-24"/>
          <w:sz w:val="32"/>
          <w:szCs w:val="32"/>
        </w:rPr>
        <w:t>4-7××年度一般公共预算基本支出经济分类决算情况表</w:t>
      </w:r>
    </w:p>
    <w:p>
      <w:pPr>
        <w:spacing w:line="600" w:lineRule="exact"/>
        <w:ind w:firstLine="1460" w:firstLineChars="500"/>
        <w:rPr>
          <w:rFonts w:ascii="仿宋" w:hAnsi="仿宋" w:eastAsia="仿宋"/>
          <w:spacing w:val="-14"/>
          <w:sz w:val="32"/>
          <w:szCs w:val="32"/>
        </w:rPr>
      </w:pPr>
      <w:r>
        <w:rPr>
          <w:rFonts w:ascii="仿宋" w:hAnsi="仿宋" w:eastAsia="仿宋"/>
          <w:spacing w:val="-14"/>
          <w:sz w:val="32"/>
          <w:szCs w:val="32"/>
        </w:rPr>
        <w:t>4-8××年度政府性基金支出决算表</w:t>
      </w:r>
    </w:p>
    <w:p>
      <w:pPr>
        <w:spacing w:line="600" w:lineRule="exact"/>
        <w:ind w:firstLine="1460" w:firstLineChars="500"/>
        <w:rPr>
          <w:rFonts w:ascii="仿宋" w:hAnsi="仿宋" w:eastAsia="仿宋"/>
          <w:spacing w:val="-14"/>
          <w:sz w:val="32"/>
          <w:szCs w:val="32"/>
        </w:rPr>
      </w:pPr>
      <w:r>
        <w:rPr>
          <w:rFonts w:ascii="仿宋" w:hAnsi="仿宋" w:eastAsia="仿宋"/>
          <w:spacing w:val="-14"/>
          <w:sz w:val="32"/>
          <w:szCs w:val="32"/>
        </w:rPr>
        <w:t>4-9××年度部门决算相关信息统计表</w:t>
      </w:r>
    </w:p>
    <w:p>
      <w:pPr>
        <w:tabs>
          <w:tab w:val="left" w:pos="6140"/>
        </w:tabs>
        <w:spacing w:line="600" w:lineRule="exact"/>
        <w:ind w:firstLine="1460" w:firstLineChars="500"/>
        <w:rPr>
          <w:rFonts w:ascii="仿宋" w:hAnsi="仿宋" w:eastAsia="仿宋"/>
          <w:spacing w:val="-14"/>
          <w:sz w:val="32"/>
          <w:szCs w:val="32"/>
        </w:rPr>
      </w:pPr>
      <w:r>
        <w:rPr>
          <w:rFonts w:ascii="仿宋" w:hAnsi="仿宋" w:eastAsia="仿宋"/>
          <w:spacing w:val="-14"/>
          <w:sz w:val="32"/>
          <w:szCs w:val="32"/>
        </w:rPr>
        <w:t>4-10××年度政府采购情况表</w:t>
      </w:r>
      <w:r>
        <w:rPr>
          <w:rFonts w:ascii="仿宋" w:hAnsi="仿宋" w:eastAsia="仿宋"/>
          <w:spacing w:val="-14"/>
          <w:sz w:val="32"/>
          <w:szCs w:val="32"/>
        </w:rPr>
        <w:tab/>
      </w:r>
    </w:p>
    <w:p/>
    <w:sectPr>
      <w:headerReference r:id="rId4" w:type="default"/>
      <w:footerReference r:id="rId5" w:type="default"/>
      <w:pgSz w:w="11906" w:h="16838"/>
      <w:pgMar w:top="1440" w:right="1800" w:bottom="1440" w:left="1800" w:header="851" w:footer="992" w:gutter="0"/>
      <w:cols w:space="720" w:num="1"/>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Tahoma">
    <w:panose1 w:val="020B0604030504040204"/>
    <w:charset w:val="00"/>
    <w:family w:val="auto"/>
    <w:pitch w:val="default"/>
    <w:sig w:usb0="61007A87" w:usb1="80000000" w:usb2="00000008" w:usb3="00000000" w:csb0="200101FF" w:csb1="20280000"/>
  </w:font>
  <w:font w:name="Symbol">
    <w:panose1 w:val="05050102010706020507"/>
    <w:charset w:val="02"/>
    <w:family w:val="roman"/>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Wingdings">
    <w:panose1 w:val="05000000000000000000"/>
    <w:charset w:val="02"/>
    <w:family w:val="auto"/>
    <w:pitch w:val="default"/>
    <w:sig w:usb0="00000000" w:usb1="00000000" w:usb2="00000000" w:usb3="00000000" w:csb0="80000000" w:csb1="00000000"/>
  </w:font>
  <w:font w:name="微软雅黑">
    <w:panose1 w:val="020B0503020204020204"/>
    <w:charset w:val="86"/>
    <w:family w:val="auto"/>
    <w:pitch w:val="default"/>
    <w:sig w:usb0="80000287" w:usb1="2A0F3C52" w:usb2="00000016" w:usb3="00000000" w:csb0="0004001F" w:csb1="00000000"/>
  </w:font>
  <w:font w:name="Calibri">
    <w:panose1 w:val="020F0502020204030204"/>
    <w:charset w:val="00"/>
    <w:family w:val="auto"/>
    <w:pitch w:val="default"/>
    <w:sig w:usb0="A00002EF" w:usb1="4000207B" w:usb2="00000000" w:usb3="00000000" w:csb0="2000009F" w:csb1="00000000"/>
  </w:font>
  <w:font w:name="仿宋">
    <w:altName w:val="仿宋_GB2312"/>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altName w:val="楷体_GB2312"/>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2"/>
    </w:pPr>
    <w:r>
      <w:rPr>
        <w:rFonts w:ascii="Calibri" w:hAnsi="Calibri" w:eastAsia="宋体" w:cs="黑体"/>
        <w:kern w:val="2"/>
        <w:sz w:val="18"/>
        <w:szCs w:val="18"/>
        <w:lang w:val="en-US" w:eastAsia="zh-CN" w:bidi="ar-SA"/>
      </w:rPr>
      <w:pict>
        <v:shape id="文本框2" o:spid="_x0000_s1025" type="#_x0000_t202" style="position:absolute;left:0;margin-top:0pt;height:144pt;width:144pt;mso-position-horizontal:center;mso-position-horizontal-relative:margin;mso-wrap-style:none;rotation:0f;z-index:251658240;" o:ole="f" fillcolor="#FFFFFF" filled="f" o:preferrelative="t" stroked="f" coordorigin="0,0" coordsize="21600,21600">
          <v:fill on="f" color2="#FFFFFF" focus="0%"/>
          <v:imagedata gain="65536f" blacklevel="0f" gamma="0"/>
          <o:lock v:ext="edit" position="f" selection="f" grouping="f" rotation="f" cropping="f" text="f" aspectratio="f"/>
          <v:textbox inset="0.00pt,0.00pt,0.00pt,0.00pt"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156"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uiPriority="0" w:name="header"/>
    <w:lsdException w:uiPriority="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0" w:name="annotation subject"/>
    <w:lsdException w:uiPriority="0" w:name="Balloon Text"/>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4">
    <w:name w:val="Default Paragraph Font"/>
    <w:semiHidden/>
    <w:unhideWhenUsed/>
    <w:uiPriority w:val="1"/>
  </w:style>
  <w:style w:type="paragraph" w:styleId="2">
    <w:name w:val="footer"/>
    <w:basedOn w:val="1"/>
    <w:link w:val="7"/>
    <w:semiHidden/>
    <w:unhideWhenUsed/>
    <w:uiPriority w:val="0"/>
    <w:pPr>
      <w:tabs>
        <w:tab w:val="center" w:pos="4153"/>
        <w:tab w:val="right" w:pos="8306"/>
      </w:tabs>
      <w:snapToGrid w:val="0"/>
      <w:jc w:val="left"/>
    </w:pPr>
    <w:rPr>
      <w:sz w:val="18"/>
      <w:szCs w:val="18"/>
    </w:rPr>
  </w:style>
  <w:style w:type="paragraph" w:styleId="3">
    <w:name w:val="header"/>
    <w:basedOn w:val="1"/>
    <w:link w:val="6"/>
    <w:semiHidden/>
    <w:unhideWhenUsed/>
    <w:uiPriority w:val="0"/>
    <w:pPr>
      <w:pBdr>
        <w:bottom w:val="single" w:color="auto" w:sz="6" w:space="1"/>
      </w:pBdr>
      <w:tabs>
        <w:tab w:val="center" w:pos="4153"/>
        <w:tab w:val="right" w:pos="8306"/>
      </w:tabs>
      <w:snapToGrid w:val="0"/>
      <w:jc w:val="center"/>
    </w:pPr>
    <w:rPr>
      <w:sz w:val="18"/>
      <w:szCs w:val="18"/>
    </w:rPr>
  </w:style>
  <w:style w:type="paragraph" w:customStyle="1" w:styleId="5">
    <w:name w:val="Defaul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character" w:customStyle="1" w:styleId="6">
    <w:name w:val="页眉 Char Char"/>
    <w:basedOn w:val="4"/>
    <w:link w:val="3"/>
    <w:uiPriority w:val="0"/>
    <w:rPr>
      <w:rFonts w:ascii="Calibri" w:hAnsi="Calibri" w:cs="黑体"/>
      <w:kern w:val="2"/>
      <w:sz w:val="18"/>
      <w:szCs w:val="18"/>
    </w:rPr>
  </w:style>
  <w:style w:type="character" w:customStyle="1" w:styleId="7">
    <w:name w:val="页脚 Char Char"/>
    <w:basedOn w:val="4"/>
    <w:link w:val="2"/>
    <w:uiPriority w:val="0"/>
    <w:rPr>
      <w:rFonts w:ascii="Calibri" w:hAnsi="Calibri" w:cs="黑体"/>
      <w:kern w:val="2"/>
      <w:sz w:val="18"/>
      <w:szCs w:val="18"/>
    </w:rPr>
  </w:style>
</w:styles>
</file>

<file path=word/_rels/document.xml.rels><?xml version="1.0" encoding="UTF-8" standalone="yes"?>
<Relationships xmlns="http://schemas.openxmlformats.org/package/2006/relationships"><Relationship Id="rId1" Type="http://schemas.openxmlformats.org/officeDocument/2006/relationships/fontTable" Target="fontTable.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 Id="rId7" Type="http://schemas.openxmlformats.org/officeDocument/2006/relationships/customXml" Target="../customXml/item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5"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11</Pages>
  <Words>797</Words>
  <Characters>4548</Characters>
  <Lines>37</Lines>
  <Paragraphs>10</Paragraphs>
  <ScaleCrop>false</ScaleCrop>
  <LinksUpToDate>false</LinksUpToDate>
  <CharactersWithSpaces>0</CharactersWithSpaces>
  <Application>WPS Office 专业版_9.1.0.4337_{F1E327BC-269C-435d-A152-05C5408002CA}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2018-08-31T04:00:00Z</dcterms:created>
  <dc:creator>微软用户</dc:creator>
  <cp:lastModifiedBy>李英华</cp:lastModifiedBy>
  <dcterms:modified xsi:type="dcterms:W3CDTF">2019-03-15T02:19:58Z</dcterms:modified>
  <dc:title>2017年度新罗区安全生产监督管理局</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2052-9.1.0.4337</vt:lpwstr>
  </property>
</Properties>
</file>