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asciiTheme="minorEastAsia" w:hAnsiTheme="minorEastAsia"/>
          <w:sz w:val="32"/>
          <w:szCs w:val="32"/>
        </w:rPr>
      </w:pPr>
    </w:p>
    <w:p>
      <w:pPr>
        <w:widowControl/>
        <w:rPr>
          <w:rFonts w:asciiTheme="minorEastAsia" w:hAnsiTheme="minorEastAsia"/>
          <w:sz w:val="32"/>
          <w:szCs w:val="32"/>
        </w:rPr>
      </w:pP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2017年度</w:t>
      </w:r>
    </w:p>
    <w:p>
      <w:pPr>
        <w:widowControl/>
        <w:jc w:val="center"/>
        <w:rPr>
          <w:sz w:val="84"/>
          <w:szCs w:val="84"/>
        </w:rPr>
      </w:pPr>
    </w:p>
    <w:p>
      <w:pPr>
        <w:widowControl/>
        <w:jc w:val="center"/>
        <w:rPr>
          <w:rFonts w:ascii="方正小标宋简体" w:eastAsia="方正小标宋简体"/>
          <w:sz w:val="84"/>
          <w:szCs w:val="84"/>
        </w:rPr>
      </w:pPr>
      <w:r>
        <w:rPr>
          <w:rFonts w:hint="eastAsia" w:ascii="方正小标宋简体" w:eastAsia="方正小标宋简体"/>
          <w:sz w:val="84"/>
          <w:szCs w:val="84"/>
        </w:rPr>
        <w:t>龙岩市新罗区</w:t>
      </w:r>
    </w:p>
    <w:p>
      <w:pPr>
        <w:widowControl/>
        <w:jc w:val="center"/>
        <w:rPr>
          <w:rFonts w:ascii="方正小标宋简体" w:eastAsia="方正小标宋简体"/>
          <w:sz w:val="84"/>
          <w:szCs w:val="84"/>
        </w:rPr>
      </w:pPr>
      <w:r>
        <w:rPr>
          <w:rFonts w:hint="eastAsia" w:ascii="方正小标宋简体" w:eastAsia="方正小标宋简体"/>
          <w:sz w:val="84"/>
          <w:szCs w:val="84"/>
          <w:lang w:eastAsia="zh-CN"/>
        </w:rPr>
        <w:t>农业局</w:t>
      </w:r>
      <w:r>
        <w:rPr>
          <w:rFonts w:hint="eastAsia" w:ascii="方正小标宋简体" w:eastAsia="方正小标宋简体"/>
          <w:sz w:val="84"/>
          <w:szCs w:val="84"/>
        </w:rPr>
        <w:t>部门决算</w:t>
      </w:r>
    </w:p>
    <w:p>
      <w:pPr>
        <w:widowControl/>
        <w:rPr>
          <w:sz w:val="84"/>
          <w:szCs w:val="84"/>
        </w:rPr>
      </w:pPr>
      <w:r>
        <w:rPr>
          <w:sz w:val="84"/>
          <w:szCs w:val="84"/>
        </w:rPr>
        <w:br w:type="page"/>
      </w:r>
    </w:p>
    <w:p>
      <w:pPr>
        <w:jc w:val="center"/>
        <w:rPr>
          <w:rFonts w:ascii="仿宋" w:hAnsi="仿宋" w:eastAsia="仿宋"/>
          <w:b/>
          <w:sz w:val="32"/>
          <w:szCs w:val="32"/>
        </w:rPr>
      </w:pPr>
      <w:r>
        <w:rPr>
          <w:rFonts w:hint="eastAsia" w:ascii="仿宋" w:hAnsi="仿宋" w:eastAsia="仿宋"/>
          <w:b/>
          <w:sz w:val="32"/>
          <w:szCs w:val="32"/>
        </w:rPr>
        <w:t>目 录</w:t>
      </w:r>
    </w:p>
    <w:p>
      <w:pPr>
        <w:jc w:val="left"/>
        <w:rPr>
          <w:rFonts w:asciiTheme="majorEastAsia" w:hAnsiTheme="majorEastAsia" w:eastAsiaTheme="majorEastAsia"/>
          <w:b/>
          <w:sz w:val="32"/>
          <w:szCs w:val="32"/>
        </w:rPr>
      </w:pP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一、部门主要职责</w:t>
      </w:r>
      <w:r>
        <w:rPr>
          <w:rFonts w:asciiTheme="majorEastAsia" w:hAnsiTheme="majorEastAsia" w:eastAsiaTheme="majorEastAsia"/>
          <w:sz w:val="32"/>
          <w:szCs w:val="32"/>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1页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二、部门决算单位基本情况</w:t>
      </w:r>
      <w:r>
        <w:rPr>
          <w:rFonts w:asciiTheme="majorEastAsia" w:hAnsiTheme="majorEastAsia" w:eastAsiaTheme="majorEastAsia"/>
          <w:sz w:val="32"/>
          <w:szCs w:val="32"/>
        </w:rPr>
        <w:t>..................</w:t>
      </w:r>
      <w:r>
        <w:rPr>
          <w:rFonts w:hint="eastAsia" w:asciiTheme="majorEastAsia" w:hAnsiTheme="majorEastAsia" w:eastAsiaTheme="majorEastAsia"/>
          <w:sz w:val="32"/>
          <w:szCs w:val="32"/>
          <w:lang w:val="en-US" w:eastAsia="zh-CN"/>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3页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三、部门主要工作总结</w:t>
      </w:r>
      <w:r>
        <w:rPr>
          <w:rFonts w:asciiTheme="majorEastAsia" w:hAnsiTheme="majorEastAsia" w:eastAsiaTheme="majorEastAsia"/>
          <w:sz w:val="32"/>
          <w:szCs w:val="32"/>
        </w:rPr>
        <w:t>.....................</w:t>
      </w:r>
      <w:r>
        <w:rPr>
          <w:rFonts w:hint="eastAsia" w:asciiTheme="majorEastAsia" w:hAnsiTheme="majorEastAsia" w:eastAsiaTheme="majorEastAsia"/>
          <w:sz w:val="32"/>
          <w:szCs w:val="32"/>
          <w:lang w:val="en-US" w:eastAsia="zh-CN"/>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4页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四、2017年决算收支总体情况说明</w:t>
      </w:r>
      <w:r>
        <w:rPr>
          <w:rFonts w:asciiTheme="majorEastAsia" w:hAnsiTheme="majorEastAsia" w:eastAsiaTheme="majorEastAsia"/>
          <w:sz w:val="32"/>
          <w:szCs w:val="32"/>
        </w:rPr>
        <w:t>..............</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7页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五、一般公共预算财政拨款支出决算情况说明</w:t>
      </w:r>
      <w:r>
        <w:rPr>
          <w:rFonts w:asciiTheme="majorEastAsia" w:hAnsiTheme="majorEastAsia" w:eastAsiaTheme="majorEastAsia"/>
          <w:sz w:val="32"/>
          <w:szCs w:val="32"/>
        </w:rPr>
        <w:t>...</w:t>
      </w:r>
      <w:r>
        <w:rPr>
          <w:rFonts w:hint="eastAsia" w:asciiTheme="majorEastAsia" w:hAnsiTheme="majorEastAsia" w:eastAsiaTheme="majorEastAsia"/>
          <w:sz w:val="32"/>
          <w:szCs w:val="32"/>
          <w:lang w:val="en-US" w:eastAsia="zh-CN"/>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8页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六、政府性基金支出决算情况说明</w:t>
      </w:r>
      <w:r>
        <w:rPr>
          <w:rFonts w:asciiTheme="majorEastAsia" w:hAnsiTheme="majorEastAsia" w:eastAsiaTheme="majorEastAsia"/>
          <w:sz w:val="32"/>
          <w:szCs w:val="32"/>
        </w:rPr>
        <w:t xml:space="preserve"> ...........</w:t>
      </w:r>
      <w:r>
        <w:rPr>
          <w:rFonts w:hint="eastAsia" w:asciiTheme="majorEastAsia" w:hAnsiTheme="majorEastAsia" w:eastAsiaTheme="majorEastAsia"/>
          <w:sz w:val="32"/>
          <w:szCs w:val="32"/>
          <w:lang w:val="en-US" w:eastAsia="zh-CN"/>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11页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七、一般公共预算财政拨款基本支出决算情况说明</w:t>
      </w:r>
      <w:r>
        <w:rPr>
          <w:rFonts w:asciiTheme="majorEastAsia" w:hAnsiTheme="majorEastAsia" w:eastAsiaTheme="majorEastAsia"/>
          <w:sz w:val="32"/>
          <w:szCs w:val="32"/>
        </w:rPr>
        <w:t>.</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11页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八、一般公共预算财政拨款“三公”经费支出决算情况说明</w:t>
      </w:r>
      <w:r>
        <w:rPr>
          <w:rFonts w:asciiTheme="majorEastAsia" w:hAnsiTheme="majorEastAsia" w:eastAsiaTheme="majorEastAsia"/>
          <w:sz w:val="32"/>
          <w:szCs w:val="32"/>
        </w:rPr>
        <w:t xml:space="preserve"> ........</w:t>
      </w:r>
      <w:r>
        <w:rPr>
          <w:rFonts w:hint="eastAsia" w:asciiTheme="majorEastAsia" w:hAnsiTheme="majorEastAsia" w:eastAsiaTheme="majorEastAsia"/>
          <w:sz w:val="32"/>
          <w:szCs w:val="32"/>
          <w:lang w:val="en-US" w:eastAsia="zh-CN"/>
        </w:rPr>
        <w:t xml:space="preserve">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12页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九、其他重要事项情况说明</w:t>
      </w:r>
      <w:r>
        <w:rPr>
          <w:rFonts w:asciiTheme="majorEastAsia" w:hAnsiTheme="majorEastAsia" w:eastAsiaTheme="majorEastAsia"/>
          <w:sz w:val="32"/>
          <w:szCs w:val="32"/>
        </w:rPr>
        <w:t>......... ......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13页</w:t>
      </w:r>
    </w:p>
    <w:p>
      <w:pPr>
        <w:jc w:val="left"/>
        <w:rPr>
          <w:rFonts w:asciiTheme="majorEastAsia" w:hAnsiTheme="majorEastAsia" w:eastAsiaTheme="majorEastAsia"/>
          <w:sz w:val="32"/>
          <w:szCs w:val="32"/>
        </w:rPr>
      </w:pPr>
      <w:r>
        <w:rPr>
          <w:rFonts w:hint="eastAsia" w:asciiTheme="majorEastAsia" w:hAnsiTheme="majorEastAsia" w:eastAsiaTheme="majorEastAsia"/>
          <w:sz w:val="32"/>
          <w:szCs w:val="32"/>
        </w:rPr>
        <w:t>十、名词解释</w:t>
      </w:r>
      <w:r>
        <w:rPr>
          <w:rFonts w:asciiTheme="majorEastAsia" w:hAnsiTheme="majorEastAsia" w:eastAsiaTheme="majorEastAsia"/>
          <w:sz w:val="32"/>
          <w:szCs w:val="32"/>
        </w:rPr>
        <w:t>...................... .........</w:t>
      </w:r>
      <w:r>
        <w:rPr>
          <w:rFonts w:hint="eastAsia" w:asciiTheme="majorEastAsia" w:hAnsiTheme="majorEastAsia" w:eastAsiaTheme="majorEastAsia"/>
          <w:sz w:val="32"/>
          <w:szCs w:val="32"/>
          <w:lang w:eastAsia="zh-CN"/>
        </w:rPr>
        <w:t>第</w:t>
      </w:r>
      <w:r>
        <w:rPr>
          <w:rFonts w:hint="eastAsia" w:asciiTheme="majorEastAsia" w:hAnsiTheme="majorEastAsia" w:eastAsiaTheme="majorEastAsia"/>
          <w:sz w:val="32"/>
          <w:szCs w:val="32"/>
          <w:lang w:val="en-US" w:eastAsia="zh-CN"/>
        </w:rPr>
        <w:t>31页</w:t>
      </w: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p>
      <w:pPr>
        <w:jc w:val="center"/>
        <w:rPr>
          <w:rFonts w:hint="eastAsia" w:ascii="方正小标宋简体" w:hAnsi="仿宋" w:eastAsia="方正小标宋简体"/>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jc w:val="center"/>
        <w:rPr>
          <w:rFonts w:ascii="方正小标宋简体" w:hAnsi="仿宋" w:eastAsia="方正小标宋简体"/>
          <w:sz w:val="44"/>
          <w:szCs w:val="44"/>
        </w:rPr>
      </w:pPr>
      <w:r>
        <w:rPr>
          <w:rFonts w:hint="eastAsia" w:ascii="方正小标宋简体" w:hAnsi="仿宋" w:eastAsia="方正小标宋简体"/>
          <w:sz w:val="44"/>
          <w:szCs w:val="44"/>
        </w:rPr>
        <w:t>2017年度</w:t>
      </w:r>
      <w:r>
        <w:rPr>
          <w:rFonts w:hint="eastAsia" w:ascii="方正小标宋简体" w:hAnsi="仿宋" w:eastAsia="方正小标宋简体"/>
          <w:sz w:val="44"/>
          <w:szCs w:val="44"/>
          <w:lang w:eastAsia="zh-CN"/>
        </w:rPr>
        <w:t>新罗区农业局</w:t>
      </w:r>
      <w:r>
        <w:rPr>
          <w:rFonts w:hint="eastAsia" w:ascii="方正小标宋简体" w:hAnsi="仿宋" w:eastAsia="方正小标宋简体"/>
          <w:sz w:val="44"/>
          <w:szCs w:val="44"/>
        </w:rPr>
        <w:t>部门决算说明</w:t>
      </w:r>
    </w:p>
    <w:p>
      <w:pPr>
        <w:spacing w:line="24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sz w:val="32"/>
          <w:szCs w:val="32"/>
        </w:rPr>
      </w:pPr>
      <w:r>
        <w:rPr>
          <w:rFonts w:hint="eastAsia" w:ascii="仿宋" w:hAnsi="仿宋" w:eastAsia="仿宋"/>
          <w:sz w:val="32"/>
          <w:szCs w:val="32"/>
        </w:rPr>
        <w:t>按照《龙岩市新罗区财政局关于批复</w:t>
      </w:r>
      <w:r>
        <w:rPr>
          <w:rFonts w:hint="eastAsia" w:ascii="仿宋" w:hAnsi="仿宋" w:eastAsia="仿宋"/>
          <w:sz w:val="32"/>
          <w:szCs w:val="32"/>
          <w:lang w:eastAsia="zh-CN"/>
        </w:rPr>
        <w:t>新罗区农业局</w:t>
      </w:r>
      <w:r>
        <w:rPr>
          <w:rFonts w:hint="eastAsia" w:ascii="仿宋" w:hAnsi="仿宋" w:eastAsia="仿宋"/>
          <w:sz w:val="32"/>
          <w:szCs w:val="32"/>
        </w:rPr>
        <w:t>2017年度部门决算的通知》的要求，现将我单位</w:t>
      </w:r>
      <w:r>
        <w:rPr>
          <w:rFonts w:hint="eastAsia" w:ascii="仿宋" w:hAnsi="仿宋" w:eastAsia="仿宋"/>
          <w:sz w:val="32"/>
          <w:szCs w:val="32"/>
          <w:lang w:val="en-US" w:eastAsia="zh-CN"/>
        </w:rPr>
        <w:t>2017</w:t>
      </w:r>
      <w:r>
        <w:rPr>
          <w:rFonts w:hint="eastAsia" w:ascii="仿宋" w:hAnsi="仿宋" w:eastAsia="仿宋"/>
          <w:sz w:val="32"/>
          <w:szCs w:val="32"/>
        </w:rPr>
        <w:t>年度部门决算说明如下</w:t>
      </w:r>
      <w:r>
        <w:rPr>
          <w:rFonts w:ascii="仿宋" w:hAnsi="仿宋" w:eastAsia="仿宋"/>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一、部门主要职责</w:t>
      </w:r>
    </w:p>
    <w:p>
      <w:pPr>
        <w:tabs>
          <w:tab w:val="left" w:pos="7513"/>
        </w:tabs>
        <w:adjustRightInd w:val="0"/>
        <w:snapToGrid w:val="0"/>
        <w:spacing w:line="620" w:lineRule="exact"/>
        <w:ind w:firstLine="640" w:firstLineChars="200"/>
        <w:rPr>
          <w:rFonts w:hint="eastAsia" w:ascii="仿宋_GB2312" w:hAnsi="仿宋" w:eastAsia="仿宋_GB2312" w:cs="Times New Roman"/>
          <w:sz w:val="32"/>
          <w:szCs w:val="32"/>
        </w:rPr>
      </w:pPr>
      <w:r>
        <w:rPr>
          <w:rFonts w:hint="eastAsia" w:ascii="仿宋" w:hAnsi="仿宋" w:eastAsia="仿宋"/>
          <w:sz w:val="32"/>
          <w:szCs w:val="32"/>
          <w:lang w:eastAsia="zh-CN"/>
        </w:rPr>
        <w:t>农业局</w:t>
      </w:r>
      <w:r>
        <w:rPr>
          <w:rFonts w:hint="eastAsia" w:ascii="仿宋" w:hAnsi="仿宋" w:eastAsia="仿宋"/>
          <w:sz w:val="32"/>
          <w:szCs w:val="32"/>
        </w:rPr>
        <w:t>的主要职责是：</w:t>
      </w:r>
      <w:r>
        <w:rPr>
          <w:rFonts w:hint="eastAsia" w:ascii="仿宋_GB2312" w:hAnsi="仿宋" w:eastAsia="仿宋_GB2312" w:cs="仿宋_GB2312"/>
          <w:sz w:val="32"/>
          <w:szCs w:val="32"/>
        </w:rPr>
        <w:t>（一）农业局贯彻执行国家省市农业、农村的法律、法规，和农村经济的地方性政策，组织，指导农业执法工作。</w:t>
      </w:r>
    </w:p>
    <w:p>
      <w:pPr>
        <w:tabs>
          <w:tab w:val="left" w:pos="7513"/>
        </w:tabs>
        <w:adjustRightInd w:val="0"/>
        <w:snapToGrid w:val="0"/>
        <w:spacing w:line="620" w:lineRule="exact"/>
        <w:ind w:firstLine="640" w:firstLineChars="200"/>
        <w:rPr>
          <w:rFonts w:hint="eastAsia" w:ascii="仿宋_GB2312" w:hAnsi="仿宋" w:eastAsia="仿宋_GB2312" w:cs="Times New Roman"/>
          <w:sz w:val="32"/>
          <w:szCs w:val="32"/>
        </w:rPr>
      </w:pPr>
      <w:r>
        <w:rPr>
          <w:rFonts w:hint="eastAsia" w:ascii="仿宋_GB2312" w:hAnsi="仿宋" w:eastAsia="仿宋_GB2312" w:cs="仿宋_GB2312"/>
          <w:sz w:val="32"/>
          <w:szCs w:val="32"/>
        </w:rPr>
        <w:t>（二）指导粮食、经济作物，畜牧产品、水产品等主要农产品生产，组织落实促进粮食等主要农产品生产，引导农业产业结构调整和产品品种的改善。</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hAnsi="仿宋" w:eastAsia="仿宋_GB2312" w:cs="仿宋_GB2312"/>
          <w:sz w:val="32"/>
          <w:szCs w:val="32"/>
        </w:rPr>
        <w:t>（三）</w:t>
      </w:r>
      <w:r>
        <w:rPr>
          <w:rFonts w:hint="eastAsia" w:ascii="仿宋_GB2312" w:eastAsia="仿宋_GB2312"/>
          <w:kern w:val="0"/>
          <w:sz w:val="32"/>
          <w:szCs w:val="32"/>
        </w:rPr>
        <w:t>负责完善农村经营管理体制；参与拟订农村经济体制改革方案，指导农村土地承包、土地承包经营权流转和土地承包经营纠纷调解仲裁管理工作；指导农民负担监督管理、村民筹资筹劳、农村集体资产和财务管理工作；指导和扶持农村合作经济组织、农民专业合作社、家庭农场建设与发展。</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hAnsi="仿宋" w:eastAsia="仿宋_GB2312" w:cs="仿宋_GB2312"/>
          <w:sz w:val="32"/>
          <w:szCs w:val="32"/>
        </w:rPr>
        <w:t>（四）</w:t>
      </w:r>
      <w:r>
        <w:rPr>
          <w:rFonts w:hint="eastAsia" w:ascii="仿宋_GB2312" w:eastAsia="仿宋_GB2312"/>
          <w:kern w:val="0"/>
          <w:sz w:val="32"/>
          <w:szCs w:val="32"/>
        </w:rPr>
        <w:t>指导粮食、经济作物、畜禽产品、水产品等主要农产品生产，组织落实促进粮食等主要农产品生产的相关政策措施，引导农业产业结构调整和产品品质的改善；按规定承担农业固定资产投资的相关工作，组织扶持农业农村发展的项目申报、农业专项资金的计划安排管理和监督检查；配合有关部门组织农业开发项目实施。</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hAnsi="仿宋" w:eastAsia="仿宋_GB2312" w:cs="仿宋_GB2312"/>
          <w:sz w:val="32"/>
          <w:szCs w:val="32"/>
        </w:rPr>
        <w:t>（五）</w:t>
      </w:r>
      <w:r>
        <w:rPr>
          <w:rFonts w:hint="eastAsia" w:ascii="仿宋_GB2312" w:eastAsia="仿宋_GB2312"/>
          <w:kern w:val="0"/>
          <w:sz w:val="32"/>
          <w:szCs w:val="32"/>
        </w:rPr>
        <w:t>指导农业安全生产工作，负责检查、督促和指导农业产业的安全生产标准化建设工作，负责种植业、畜牧业、渔业安全生产监督管理；指导农机安全监理工作；指导渔业船舶作业安全生产监管；负责种植业、畜牧业、渔业突发事件应急指挥、处置、救援等综合协调和监管工作。</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六</w:t>
      </w:r>
      <w:r>
        <w:rPr>
          <w:rFonts w:hint="eastAsia" w:ascii="仿宋_GB2312" w:eastAsia="仿宋_GB2312"/>
          <w:kern w:val="0"/>
          <w:sz w:val="32"/>
          <w:szCs w:val="32"/>
        </w:rPr>
        <w:t>）负责食用农产品从种植、养殖到批发、零售市场或生产加工企业前的质量安全的监督管理，负责兽药、饲料、饲料添加剂和职责范围内的农药、肥料等农业投入品质量安全及使用的监管；依据有关规定负责畜禽屠宰监管工作；贯彻执行农产品质量安全及相关农业生产资料国家标准，并会同有关部门监督实施；承担农业标准化有关工作；组织、指导农业检验检测体系建设；依法实施农产品质量安全认证与监督管理。</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七</w:t>
      </w:r>
      <w:r>
        <w:rPr>
          <w:rFonts w:hint="eastAsia" w:ascii="仿宋_GB2312" w:eastAsia="仿宋_GB2312"/>
          <w:kern w:val="0"/>
          <w:sz w:val="32"/>
          <w:szCs w:val="32"/>
        </w:rPr>
        <w:t>）组织、协调农业生产资料市场体系建设；依法实施农作物种子（种苗，不含林木种苗和花卉）、食用菌菌种、草种、种畜禽、水产苗种、农药、兽药、饲料、饲料添加剂的监督管理；负责兽医医疗器械和有关肥料的监管工作。</w:t>
      </w:r>
    </w:p>
    <w:p>
      <w:pPr>
        <w:widowControl/>
        <w:shd w:val="clear" w:color="auto" w:fill="FFFFFF"/>
        <w:spacing w:line="560" w:lineRule="exact"/>
        <w:ind w:firstLine="640" w:firstLineChars="20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八</w:t>
      </w:r>
      <w:r>
        <w:rPr>
          <w:rFonts w:hint="eastAsia" w:ascii="仿宋_GB2312" w:eastAsia="仿宋_GB2312"/>
          <w:kern w:val="0"/>
          <w:sz w:val="32"/>
          <w:szCs w:val="32"/>
        </w:rPr>
        <w:t>）承担农业防灾减灾职责，负责农作物重大病虫害防治；组织拟订动植物疫病防控计划并组织实施，指导动植物防疫和检疫体系建设；组织、监督动植物（不含森林植物、花卉、野生动植物）境内的防疫、检疫工作；依法发布疫情并组织扑灭；组织兽医医政、兽药药政药检工作，负责官方兽医、执业兽医、乡村兽医管理相关工作；监测、发布农业灾情，组织种子、兽用疫苗、消毒剂等救灾物资储备和调拨，指导紧急救灾和灾后生产恢复。</w:t>
      </w:r>
    </w:p>
    <w:p>
      <w:pPr>
        <w:spacing w:line="560" w:lineRule="exact"/>
        <w:ind w:firstLine="480" w:firstLineChars="150"/>
        <w:rPr>
          <w:rFonts w:hint="eastAsia" w:ascii="仿宋_GB2312" w:eastAsia="仿宋_GB2312"/>
          <w:kern w:val="0"/>
          <w:sz w:val="32"/>
          <w:szCs w:val="32"/>
        </w:rPr>
      </w:pPr>
      <w:r>
        <w:rPr>
          <w:rFonts w:hint="eastAsia" w:ascii="仿宋_GB2312" w:eastAsia="仿宋_GB2312"/>
          <w:kern w:val="0"/>
          <w:sz w:val="32"/>
          <w:szCs w:val="32"/>
        </w:rPr>
        <w:t>（</w:t>
      </w:r>
      <w:r>
        <w:rPr>
          <w:rFonts w:hint="eastAsia" w:ascii="仿宋_GB2312" w:eastAsia="仿宋_GB2312"/>
          <w:kern w:val="0"/>
          <w:sz w:val="32"/>
          <w:szCs w:val="32"/>
          <w:lang w:eastAsia="zh-CN"/>
        </w:rPr>
        <w:t>九</w:t>
      </w:r>
      <w:r>
        <w:rPr>
          <w:rFonts w:hint="eastAsia" w:ascii="仿宋_GB2312" w:eastAsia="仿宋_GB2312"/>
          <w:kern w:val="0"/>
          <w:sz w:val="32"/>
          <w:szCs w:val="32"/>
        </w:rPr>
        <w:t>）拟订农业科研科技示范、农技推广的规划、计划和相关政策，指导农技推广体系改革与建设；会同有关部门开展农业科技创新体系和产业技术体系建设，组织实施农业高新技术和应用技术研究、技术引进、农业科技成果转化和推广；组织实施新型职业农民培育、村级农民技术员、动物防疫员和农村实用人才培训与管理工作；依法开展农业植物新品种保护和农业转基因生物安全监督管理工作；参与农业系统劳模的评选，组织指导农民体育健身活动。</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二、部门决算单位基本情况</w:t>
      </w:r>
    </w:p>
    <w:p>
      <w:pPr>
        <w:tabs>
          <w:tab w:val="left" w:pos="7513"/>
        </w:tabs>
        <w:adjustRightInd w:val="0"/>
        <w:snapToGri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从决算单位构成看，</w:t>
      </w:r>
      <w:r>
        <w:rPr>
          <w:rFonts w:hint="eastAsia" w:ascii="仿宋" w:hAnsi="仿宋" w:eastAsia="仿宋" w:cs="仿宋_GB2312"/>
          <w:sz w:val="32"/>
          <w:szCs w:val="32"/>
          <w:lang w:eastAsia="zh-CN"/>
        </w:rPr>
        <w:t>农业局</w:t>
      </w:r>
      <w:r>
        <w:rPr>
          <w:rFonts w:hint="eastAsia" w:ascii="仿宋" w:hAnsi="仿宋" w:eastAsia="仿宋"/>
          <w:sz w:val="32"/>
          <w:szCs w:val="32"/>
        </w:rPr>
        <w:t>包括</w:t>
      </w:r>
      <w:r>
        <w:rPr>
          <w:rFonts w:hint="eastAsia" w:ascii="仿宋" w:hAnsi="仿宋" w:eastAsia="仿宋"/>
          <w:sz w:val="32"/>
          <w:szCs w:val="32"/>
          <w:lang w:val="en-US" w:eastAsia="zh-CN"/>
        </w:rPr>
        <w:t>1</w:t>
      </w:r>
      <w:r>
        <w:rPr>
          <w:rFonts w:hint="eastAsia" w:ascii="仿宋" w:hAnsi="仿宋" w:eastAsia="仿宋"/>
          <w:sz w:val="32"/>
          <w:szCs w:val="32"/>
        </w:rPr>
        <w:t>个机关行政处（科）室及</w:t>
      </w:r>
      <w:r>
        <w:rPr>
          <w:rFonts w:hint="eastAsia" w:ascii="仿宋" w:hAnsi="仿宋" w:eastAsia="仿宋"/>
          <w:sz w:val="32"/>
          <w:szCs w:val="32"/>
          <w:lang w:val="en-US" w:eastAsia="zh-CN"/>
        </w:rPr>
        <w:t>22</w:t>
      </w:r>
      <w:r>
        <w:rPr>
          <w:rFonts w:hint="eastAsia" w:ascii="仿宋" w:hAnsi="仿宋" w:eastAsia="仿宋"/>
          <w:sz w:val="32"/>
          <w:szCs w:val="32"/>
        </w:rPr>
        <w:t>个下属单位，其中：列入</w:t>
      </w:r>
      <w:r>
        <w:rPr>
          <w:rFonts w:hint="eastAsia" w:ascii="仿宋" w:hAnsi="仿宋" w:eastAsia="仿宋"/>
          <w:sz w:val="32"/>
          <w:szCs w:val="32"/>
          <w:lang w:val="en-US" w:eastAsia="zh-CN"/>
        </w:rPr>
        <w:t>2017</w:t>
      </w:r>
      <w:r>
        <w:rPr>
          <w:rFonts w:hint="eastAsia" w:ascii="仿宋" w:hAnsi="仿宋" w:eastAsia="仿宋"/>
          <w:sz w:val="32"/>
          <w:szCs w:val="32"/>
        </w:rPr>
        <w:t>年部门决算编制范围的单位详细情况见下表</w:t>
      </w:r>
      <w:r>
        <w:rPr>
          <w:rFonts w:ascii="仿宋" w:hAnsi="仿宋" w:eastAsia="仿宋"/>
          <w:sz w:val="32"/>
          <w:szCs w:val="32"/>
        </w:rPr>
        <w:t>:</w:t>
      </w:r>
    </w:p>
    <w:tbl>
      <w:tblPr>
        <w:tblStyle w:val="6"/>
        <w:tblW w:w="9081" w:type="dxa"/>
        <w:jc w:val="center"/>
        <w:tblInd w:w="-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gridCol w:w="1526"/>
        <w:gridCol w:w="1748"/>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rPr>
            </w:pPr>
            <w:r>
              <w:rPr>
                <w:rFonts w:hint="eastAsia" w:ascii="仿宋" w:hAnsi="仿宋" w:eastAsia="仿宋"/>
                <w:sz w:val="24"/>
                <w:szCs w:val="24"/>
              </w:rPr>
              <w:t>单位名称</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rPr>
            </w:pPr>
            <w:r>
              <w:rPr>
                <w:rFonts w:hint="eastAsia" w:ascii="仿宋" w:hAnsi="仿宋" w:eastAsia="仿宋"/>
                <w:sz w:val="24"/>
                <w:szCs w:val="24"/>
              </w:rPr>
              <w:t>经费性质</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rPr>
            </w:pPr>
            <w:r>
              <w:rPr>
                <w:rFonts w:hint="eastAsia" w:ascii="仿宋" w:hAnsi="仿宋" w:eastAsia="仿宋"/>
                <w:sz w:val="24"/>
                <w:szCs w:val="24"/>
              </w:rPr>
              <w:t>人员编制数</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rPr>
            </w:pPr>
            <w:r>
              <w:rPr>
                <w:rFonts w:hint="eastAsia" w:ascii="仿宋" w:hAnsi="仿宋" w:eastAsia="仿宋"/>
                <w:sz w:val="24"/>
                <w:szCs w:val="24"/>
              </w:rPr>
              <w:t>在职人数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龙岩市新罗区农业局</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行政</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17</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龙岩市新罗区农科教结合协调领导小组办公室</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参公</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3</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龙岩市新罗区畜牧站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龙岩市新罗区动物疫病预防控制中心</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龙岩市新罗区动物卫生监督所</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18</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龙岩市新罗区农产品质量安全检验检测</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11</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龙岩市新罗区水产技术推广站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中国渔政新罗区大队</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参公</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龙岩市山麻鸭原种场</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3</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龙岩市新罗区种子站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11</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龙岩市新罗区农业技术推广站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龙岩市新罗区经济作物技术推广站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12</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龙岩市新罗区畜禽屠宰管理站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龙岩市新罗区农村合作经济经营管理站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龙岩市新罗区植保植检站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龙岩市新罗区土壤肥料技术站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龙岩市新罗区良种繁育场</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龙岩市新罗区农业利用外资办公室</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龙岩市新罗区农业广播电视学校</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6</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龙岩市新罗区蔬菜花卉科技推广站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龙岩市新罗区农业行政执法大队</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参公</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5</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龙岩市新罗区农业机械管理总站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参公</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15</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龙岩市新罗区农业机械管理总站</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事业</w:t>
            </w: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474" w:type="dxa"/>
            <w:vAlign w:val="top"/>
          </w:tcPr>
          <w:p>
            <w:pPr>
              <w:tabs>
                <w:tab w:val="left" w:pos="7513"/>
              </w:tabs>
              <w:adjustRightInd w:val="0"/>
              <w:snapToGrid w:val="0"/>
              <w:spacing w:line="600" w:lineRule="exact"/>
              <w:jc w:val="center"/>
              <w:rPr>
                <w:rFonts w:hint="eastAsia" w:ascii="仿宋" w:hAnsi="仿宋" w:eastAsia="仿宋"/>
                <w:sz w:val="24"/>
                <w:szCs w:val="24"/>
                <w:lang w:eastAsia="zh-CN"/>
              </w:rPr>
            </w:pPr>
            <w:r>
              <w:rPr>
                <w:rFonts w:hint="eastAsia" w:ascii="仿宋" w:hAnsi="仿宋" w:eastAsia="仿宋"/>
                <w:sz w:val="24"/>
                <w:szCs w:val="24"/>
                <w:lang w:eastAsia="zh-CN"/>
              </w:rPr>
              <w:t>合计</w:t>
            </w:r>
          </w:p>
        </w:tc>
        <w:tc>
          <w:tcPr>
            <w:tcW w:w="1526"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p>
        </w:tc>
        <w:tc>
          <w:tcPr>
            <w:tcW w:w="1748"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191</w:t>
            </w:r>
          </w:p>
        </w:tc>
        <w:tc>
          <w:tcPr>
            <w:tcW w:w="1333" w:type="dxa"/>
            <w:vAlign w:val="top"/>
          </w:tcPr>
          <w:p>
            <w:pPr>
              <w:tabs>
                <w:tab w:val="left" w:pos="7513"/>
              </w:tabs>
              <w:adjustRightInd w:val="0"/>
              <w:snapToGrid w:val="0"/>
              <w:spacing w:line="600" w:lineRule="exact"/>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176</w:t>
            </w:r>
          </w:p>
        </w:tc>
      </w:tr>
    </w:tbl>
    <w:p>
      <w:pPr>
        <w:spacing w:line="600" w:lineRule="exact"/>
        <w:ind w:firstLine="640" w:firstLineChars="200"/>
        <w:rPr>
          <w:rFonts w:ascii="仿宋" w:hAnsi="仿宋" w:eastAsia="仿宋"/>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三、部门主要工作总结</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w:t>
      </w:r>
      <w:r>
        <w:rPr>
          <w:rFonts w:hint="eastAsia" w:ascii="仿宋" w:hAnsi="仿宋" w:eastAsia="仿宋"/>
          <w:sz w:val="32"/>
          <w:szCs w:val="32"/>
          <w:lang w:eastAsia="zh-CN"/>
        </w:rPr>
        <w:t>农业局</w:t>
      </w:r>
      <w:r>
        <w:rPr>
          <w:rFonts w:hint="eastAsia" w:ascii="仿宋" w:hAnsi="仿宋" w:eastAsia="仿宋"/>
          <w:sz w:val="32"/>
          <w:szCs w:val="32"/>
        </w:rPr>
        <w:t>主要任务是：</w:t>
      </w:r>
      <w:r>
        <w:rPr>
          <w:rFonts w:hint="eastAsia" w:ascii="仿宋" w:hAnsi="仿宋" w:eastAsia="仿宋"/>
          <w:sz w:val="32"/>
          <w:szCs w:val="32"/>
          <w:lang w:val="en-US" w:eastAsia="zh-CN"/>
        </w:rPr>
        <w:t>1、</w:t>
      </w:r>
      <w:r>
        <w:rPr>
          <w:rFonts w:hint="eastAsia" w:eastAsia="楷体_GB2312"/>
          <w:b/>
          <w:sz w:val="31"/>
          <w:szCs w:val="31"/>
          <w:lang w:eastAsia="zh-CN"/>
        </w:rPr>
        <w:t>确保</w:t>
      </w:r>
      <w:r>
        <w:rPr>
          <w:rFonts w:hint="eastAsia" w:eastAsia="楷体_GB2312"/>
          <w:b/>
          <w:sz w:val="31"/>
          <w:szCs w:val="31"/>
        </w:rPr>
        <w:t>农业生产稳步增长</w:t>
      </w:r>
      <w:r>
        <w:rPr>
          <w:rFonts w:hint="eastAsia" w:eastAsia="楷体_GB2312"/>
          <w:b/>
          <w:sz w:val="31"/>
          <w:szCs w:val="31"/>
          <w:lang w:eastAsia="zh-CN"/>
        </w:rPr>
        <w:t>，</w:t>
      </w:r>
      <w:r>
        <w:rPr>
          <w:rFonts w:hint="eastAsia" w:eastAsia="楷体_GB2312"/>
          <w:b/>
          <w:sz w:val="31"/>
          <w:szCs w:val="31"/>
          <w:lang w:val="en-US" w:eastAsia="zh-CN"/>
        </w:rPr>
        <w:t>2、</w:t>
      </w:r>
      <w:r>
        <w:rPr>
          <w:rFonts w:hint="eastAsia" w:eastAsia="楷体_GB2312"/>
          <w:b/>
          <w:sz w:val="31"/>
          <w:szCs w:val="31"/>
        </w:rPr>
        <w:t>现代农业加快发展</w:t>
      </w:r>
      <w:r>
        <w:rPr>
          <w:rFonts w:hint="eastAsia" w:eastAsia="楷体_GB2312"/>
          <w:b/>
          <w:sz w:val="31"/>
          <w:szCs w:val="31"/>
          <w:lang w:eastAsia="zh-CN"/>
        </w:rPr>
        <w:t>。</w:t>
      </w:r>
      <w:r>
        <w:rPr>
          <w:rFonts w:hint="eastAsia" w:eastAsia="楷体_GB2312"/>
          <w:b/>
          <w:sz w:val="31"/>
          <w:szCs w:val="31"/>
          <w:lang w:val="en-US" w:eastAsia="zh-CN"/>
        </w:rPr>
        <w:t>3</w:t>
      </w:r>
      <w:r>
        <w:rPr>
          <w:rFonts w:hint="eastAsia" w:eastAsia="楷体_GB2312"/>
          <w:b/>
          <w:sz w:val="31"/>
          <w:szCs w:val="31"/>
        </w:rPr>
        <w:t>农业安全水平稳步提升</w:t>
      </w:r>
      <w:r>
        <w:rPr>
          <w:rFonts w:hint="eastAsia" w:eastAsia="楷体_GB2312"/>
          <w:b/>
          <w:sz w:val="31"/>
          <w:szCs w:val="31"/>
          <w:lang w:eastAsia="zh-CN"/>
        </w:rPr>
        <w:t>。</w:t>
      </w:r>
      <w:r>
        <w:rPr>
          <w:rFonts w:hint="eastAsia" w:eastAsia="楷体_GB2312"/>
          <w:b/>
          <w:sz w:val="31"/>
          <w:szCs w:val="31"/>
          <w:lang w:val="en-US" w:eastAsia="zh-CN"/>
        </w:rPr>
        <w:t>4、</w:t>
      </w:r>
      <w:r>
        <w:rPr>
          <w:rFonts w:hint="eastAsia" w:ascii="楷体_GB2312" w:eastAsia="楷体_GB2312"/>
          <w:b/>
          <w:sz w:val="31"/>
          <w:szCs w:val="31"/>
        </w:rPr>
        <w:t>农村改革有序推进。</w:t>
      </w:r>
      <w:r>
        <w:rPr>
          <w:rFonts w:hint="eastAsia" w:ascii="楷体_GB2312" w:eastAsia="楷体_GB2312"/>
          <w:b/>
          <w:sz w:val="31"/>
          <w:szCs w:val="31"/>
          <w:lang w:val="en-US" w:eastAsia="zh-CN"/>
        </w:rPr>
        <w:t>5</w:t>
      </w:r>
      <w:r>
        <w:rPr>
          <w:rFonts w:hint="eastAsia" w:ascii="楷体_GB2312" w:eastAsia="楷体_GB2312"/>
          <w:b/>
          <w:sz w:val="31"/>
          <w:szCs w:val="31"/>
        </w:rPr>
        <w:t>脱贫攻坚再创佳绩。</w:t>
      </w:r>
      <w:r>
        <w:rPr>
          <w:rFonts w:hint="eastAsia" w:ascii="仿宋" w:hAnsi="仿宋" w:eastAsia="仿宋"/>
          <w:sz w:val="32"/>
          <w:szCs w:val="32"/>
        </w:rPr>
        <w:t>围绕上述任务，重点完成了以下工作：</w:t>
      </w:r>
    </w:p>
    <w:p>
      <w:pPr>
        <w:adjustRightInd w:val="0"/>
        <w:snapToGrid w:val="0"/>
        <w:spacing w:line="590" w:lineRule="exact"/>
        <w:ind w:firstLine="620" w:firstLineChars="200"/>
        <w:rPr>
          <w:rFonts w:hint="eastAsia" w:eastAsia="仿宋_GB2312"/>
          <w:sz w:val="31"/>
          <w:szCs w:val="31"/>
        </w:rPr>
      </w:pPr>
      <w:r>
        <w:rPr>
          <w:rFonts w:hint="eastAsia" w:eastAsia="仿宋_GB2312"/>
          <w:sz w:val="31"/>
          <w:szCs w:val="31"/>
        </w:rPr>
        <w:t>2017年</w:t>
      </w:r>
      <w:r>
        <w:rPr>
          <w:rFonts w:hint="eastAsia" w:eastAsia="仿宋_GB2312"/>
          <w:sz w:val="31"/>
          <w:szCs w:val="31"/>
          <w:lang w:eastAsia="zh-CN"/>
        </w:rPr>
        <w:t>取得的主要工作如下：</w:t>
      </w:r>
    </w:p>
    <w:p>
      <w:pPr>
        <w:adjustRightInd w:val="0"/>
        <w:snapToGrid w:val="0"/>
        <w:spacing w:line="590" w:lineRule="exact"/>
        <w:ind w:firstLine="622" w:firstLineChars="200"/>
        <w:rPr>
          <w:rFonts w:hint="eastAsia" w:eastAsia="仿宋_GB2312"/>
          <w:sz w:val="31"/>
          <w:szCs w:val="31"/>
        </w:rPr>
      </w:pPr>
      <w:r>
        <w:rPr>
          <w:rFonts w:hint="eastAsia" w:eastAsia="楷体_GB2312"/>
          <w:b/>
          <w:sz w:val="31"/>
          <w:szCs w:val="31"/>
        </w:rPr>
        <w:t>1.农业生产稳步增长。</w:t>
      </w:r>
      <w:r>
        <w:rPr>
          <w:rFonts w:hint="eastAsia" w:ascii="仿宋_GB2312" w:eastAsia="仿宋_GB2312"/>
          <w:b/>
          <w:sz w:val="31"/>
          <w:szCs w:val="31"/>
        </w:rPr>
        <w:t>一是粮食生产总体平稳。</w:t>
      </w:r>
      <w:r>
        <w:rPr>
          <w:rFonts w:hint="eastAsia" w:eastAsia="仿宋_GB2312" w:cs="宋体"/>
          <w:kern w:val="0"/>
          <w:sz w:val="31"/>
          <w:szCs w:val="31"/>
        </w:rPr>
        <w:t>按照“稳面积、攻单产、提效益”的总体目标，始终把发展粮食生产和保障粮食安全作为农业农村经济的重中之重。</w:t>
      </w:r>
      <w:r>
        <w:rPr>
          <w:rFonts w:hint="eastAsia" w:hAnsi="仿宋_GB2312" w:eastAsia="仿宋_GB2312" w:cs="仿宋_GB2312"/>
          <w:sz w:val="31"/>
          <w:szCs w:val="31"/>
        </w:rPr>
        <w:t>全</w:t>
      </w:r>
      <w:r>
        <w:rPr>
          <w:rFonts w:hint="eastAsia" w:eastAsia="仿宋_GB2312"/>
          <w:sz w:val="31"/>
          <w:szCs w:val="31"/>
        </w:rPr>
        <w:t>年粮食播种面积15.85万亩，预计总产6.5万吨，其中水稻播种面积13.2万亩，产量3.2万吨。</w:t>
      </w:r>
      <w:r>
        <w:rPr>
          <w:rFonts w:hint="eastAsia" w:ascii="仿宋_GB2312" w:eastAsia="仿宋_GB2312"/>
          <w:b/>
          <w:sz w:val="31"/>
          <w:szCs w:val="31"/>
        </w:rPr>
        <w:t>二是果蔬茶产业持续提升。</w:t>
      </w:r>
      <w:r>
        <w:rPr>
          <w:rFonts w:hint="eastAsia" w:eastAsia="仿宋_GB2312"/>
          <w:sz w:val="31"/>
          <w:szCs w:val="31"/>
        </w:rPr>
        <w:t>全年新植果树面积5800亩，预计新增产量2万吨，其中百香果3000亩，产量3900吨；蔬菜、茶叶、中药材、食用菌等均平稳增长。</w:t>
      </w:r>
      <w:r>
        <w:rPr>
          <w:rFonts w:hint="eastAsia" w:ascii="仿宋_GB2312" w:eastAsia="仿宋_GB2312"/>
          <w:b/>
          <w:sz w:val="31"/>
          <w:szCs w:val="31"/>
        </w:rPr>
        <w:t>三是畜牧业结构持续优化。</w:t>
      </w:r>
      <w:r>
        <w:rPr>
          <w:rFonts w:hint="eastAsia" w:eastAsia="仿宋_GB2312"/>
          <w:sz w:val="31"/>
          <w:szCs w:val="31"/>
        </w:rPr>
        <w:t>坚持畜牧业绿色发展，积极调减生猪出栏总量，加快发展牛、羊等草食性动物和肉兔、肉鸡产业发展。全年生猪出栏97.8万头，同比下降1.2%；草食动物、</w:t>
      </w:r>
      <w:r>
        <w:rPr>
          <w:rFonts w:hint="eastAsia" w:ascii="仿宋_GB2312" w:eastAsia="仿宋_GB2312"/>
          <w:sz w:val="31"/>
          <w:szCs w:val="31"/>
        </w:rPr>
        <w:t>家禽等生产总量保持较快增长</w:t>
      </w:r>
      <w:r>
        <w:rPr>
          <w:rFonts w:hint="eastAsia" w:eastAsia="仿宋_GB2312"/>
          <w:sz w:val="31"/>
          <w:szCs w:val="31"/>
        </w:rPr>
        <w:t>。</w:t>
      </w:r>
    </w:p>
    <w:p>
      <w:pPr>
        <w:adjustRightInd w:val="0"/>
        <w:snapToGrid w:val="0"/>
        <w:spacing w:line="590" w:lineRule="exact"/>
        <w:ind w:firstLine="622" w:firstLineChars="200"/>
        <w:rPr>
          <w:rFonts w:hint="eastAsia" w:eastAsia="仿宋_GB2312"/>
          <w:sz w:val="31"/>
          <w:szCs w:val="31"/>
        </w:rPr>
      </w:pPr>
      <w:r>
        <w:rPr>
          <w:rFonts w:hint="eastAsia" w:eastAsia="楷体_GB2312"/>
          <w:b/>
          <w:sz w:val="31"/>
          <w:szCs w:val="31"/>
        </w:rPr>
        <w:t>2.现代农业加快发展。</w:t>
      </w:r>
      <w:r>
        <w:rPr>
          <w:rFonts w:hint="eastAsia" w:ascii="仿宋_GB2312" w:eastAsia="仿宋_GB2312"/>
          <w:sz w:val="31"/>
          <w:szCs w:val="31"/>
        </w:rPr>
        <w:t>着力推进农业供给侧结构性改革，加大设施蔬菜、百香果、咸酥花生、山麻鸭等特色优势农业产业政策扶持力度，全年新增现代设施蔬菜面积650亩、百香果3000亩。着力加快一二三产业融合发展，百香果深加工、蔬菜采后处理等6个农产品加工项目有序推进，全年</w:t>
      </w:r>
      <w:r>
        <w:rPr>
          <w:rFonts w:hint="eastAsia" w:eastAsia="仿宋_GB2312"/>
          <w:sz w:val="31"/>
          <w:szCs w:val="31"/>
        </w:rPr>
        <w:t>实现规模以上农副产品加工产值118亿元，比增9.1%。</w:t>
      </w:r>
      <w:r>
        <w:rPr>
          <w:rFonts w:hint="eastAsia" w:ascii="仿宋_GB2312" w:eastAsia="仿宋_GB2312"/>
          <w:sz w:val="31"/>
          <w:szCs w:val="31"/>
        </w:rPr>
        <w:t>着力加快构建新型农业系统经营体系，全年新增农业龙头企业3家、示范家庭农场18家、农民专业合作示范社15家。着力强化品牌打造提升，龙岩斜背茶通过农业部农产品地理标志认证登记专家评审，全年累计有效使用绿色标志的企业10家、产品16个、无公害认证产品36个。</w:t>
      </w:r>
    </w:p>
    <w:p>
      <w:pPr>
        <w:adjustRightInd w:val="0"/>
        <w:snapToGrid w:val="0"/>
        <w:spacing w:line="590" w:lineRule="exact"/>
        <w:ind w:firstLine="622" w:firstLineChars="200"/>
        <w:rPr>
          <w:rFonts w:hint="eastAsia" w:eastAsia="仿宋_GB2312"/>
          <w:sz w:val="31"/>
          <w:szCs w:val="31"/>
        </w:rPr>
      </w:pPr>
      <w:r>
        <w:rPr>
          <w:rFonts w:hint="eastAsia" w:eastAsia="楷体_GB2312"/>
          <w:b/>
          <w:sz w:val="31"/>
          <w:szCs w:val="31"/>
        </w:rPr>
        <w:t>3.农业安全水平稳步提升。</w:t>
      </w:r>
      <w:r>
        <w:rPr>
          <w:rFonts w:hint="eastAsia" w:ascii="仿宋_GB2312" w:eastAsia="仿宋_GB2312"/>
          <w:b/>
          <w:sz w:val="31"/>
          <w:szCs w:val="31"/>
        </w:rPr>
        <w:t>一是农产品质量安全水平进一步提升。</w:t>
      </w:r>
      <w:r>
        <w:rPr>
          <w:rFonts w:hint="eastAsia" w:eastAsia="仿宋_GB2312"/>
          <w:sz w:val="31"/>
          <w:szCs w:val="31"/>
        </w:rPr>
        <w:t>进一步加强农产品标准化建设，强化农产品检测，不断完善农产品质量安全可追溯管理平台建设，确保农产品质量安全水平提升，全区共有73家</w:t>
      </w:r>
      <w:r>
        <w:rPr>
          <w:rFonts w:hint="eastAsia" w:ascii="仿宋_GB2312" w:eastAsia="仿宋_GB2312"/>
          <w:sz w:val="31"/>
          <w:szCs w:val="31"/>
        </w:rPr>
        <w:t>市级以上农业产业化龙头企业、省级规范合作社</w:t>
      </w:r>
      <w:r>
        <w:rPr>
          <w:rFonts w:hint="eastAsia" w:eastAsia="仿宋_GB2312"/>
          <w:sz w:val="31"/>
          <w:szCs w:val="31"/>
        </w:rPr>
        <w:t>、“三品一标”生产企业纳入福建省农产品质量安全可追溯管理信息平台，比去年增加43家。</w:t>
      </w:r>
      <w:r>
        <w:rPr>
          <w:rFonts w:hint="eastAsia" w:ascii="仿宋_GB2312" w:eastAsia="仿宋_GB2312"/>
          <w:b/>
          <w:sz w:val="31"/>
          <w:szCs w:val="31"/>
        </w:rPr>
        <w:t>二是重大动物疫病防控体系进一步健全。</w:t>
      </w:r>
      <w:r>
        <w:rPr>
          <w:rFonts w:hint="eastAsia" w:eastAsia="仿宋_GB2312"/>
          <w:sz w:val="31"/>
          <w:szCs w:val="31"/>
        </w:rPr>
        <w:t>扎实开展重大动物疫病防控工作，动物强制免疫病种疫苗应</w:t>
      </w:r>
      <w:r>
        <w:rPr>
          <w:rFonts w:hint="eastAsia" w:hAnsi="仿宋_GB2312" w:eastAsia="仿宋_GB2312" w:cs="仿宋_GB2312"/>
          <w:sz w:val="31"/>
          <w:szCs w:val="31"/>
        </w:rPr>
        <w:t>免密度达到</w:t>
      </w:r>
      <w:r>
        <w:rPr>
          <w:rFonts w:hint="eastAsia" w:eastAsia="仿宋_GB2312" w:cs="仿宋_GB2312"/>
          <w:sz w:val="31"/>
          <w:szCs w:val="31"/>
        </w:rPr>
        <w:t>100%</w:t>
      </w:r>
      <w:r>
        <w:rPr>
          <w:rFonts w:hint="eastAsia" w:hAnsi="仿宋_GB2312" w:eastAsia="仿宋_GB2312" w:cs="仿宋_GB2312"/>
          <w:sz w:val="31"/>
          <w:szCs w:val="31"/>
        </w:rPr>
        <w:t>，</w:t>
      </w:r>
      <w:r>
        <w:rPr>
          <w:rFonts w:hint="eastAsia" w:ascii="仿宋_GB2312" w:eastAsia="仿宋_GB2312"/>
          <w:sz w:val="31"/>
          <w:szCs w:val="31"/>
        </w:rPr>
        <w:t>抗体合格率达70%以上，</w:t>
      </w:r>
      <w:r>
        <w:rPr>
          <w:rFonts w:hint="eastAsia" w:hAnsi="仿宋_GB2312" w:eastAsia="仿宋_GB2312" w:cs="仿宋_GB2312"/>
          <w:sz w:val="31"/>
          <w:szCs w:val="31"/>
        </w:rPr>
        <w:t>群体免疫密度常年维持在</w:t>
      </w:r>
      <w:r>
        <w:rPr>
          <w:rFonts w:hint="eastAsia" w:eastAsia="仿宋_GB2312" w:cs="仿宋_GB2312"/>
          <w:sz w:val="31"/>
          <w:szCs w:val="31"/>
        </w:rPr>
        <w:t>90%</w:t>
      </w:r>
      <w:r>
        <w:rPr>
          <w:rFonts w:hint="eastAsia" w:hAnsi="仿宋_GB2312" w:eastAsia="仿宋_GB2312" w:cs="仿宋_GB2312"/>
          <w:sz w:val="31"/>
          <w:szCs w:val="31"/>
        </w:rPr>
        <w:t>以上，全年未发生重大动物疫情。</w:t>
      </w:r>
      <w:r>
        <w:rPr>
          <w:rFonts w:hint="eastAsia" w:ascii="仿宋_GB2312" w:eastAsia="仿宋_GB2312"/>
          <w:b/>
          <w:sz w:val="31"/>
          <w:szCs w:val="31"/>
        </w:rPr>
        <w:t>三是农业行政执法工作进一步强化。</w:t>
      </w:r>
      <w:r>
        <w:rPr>
          <w:rFonts w:hint="eastAsia" w:hAnsi="仿宋_GB2312" w:eastAsia="仿宋_GB2312" w:cs="仿宋_GB2312"/>
          <w:sz w:val="31"/>
          <w:szCs w:val="31"/>
        </w:rPr>
        <w:t>加强农产品质量安全执法工作，共立案查处违法案件3起，农业综合执法水平有效提高。组建畜禽屠宰督查队伍，进一步加强畜禽屠宰监管，</w:t>
      </w:r>
      <w:r>
        <w:rPr>
          <w:rFonts w:hint="eastAsia" w:ascii="仿宋_GB2312" w:hAnsi="仿宋_GB2312" w:eastAsia="仿宋_GB2312" w:cs="仿宋_GB2312"/>
          <w:sz w:val="31"/>
          <w:szCs w:val="31"/>
        </w:rPr>
        <w:t>私屠滥宰行为得到有效遏制。</w:t>
      </w:r>
      <w:r>
        <w:rPr>
          <w:rFonts w:hint="eastAsia" w:eastAsia="仿宋_GB2312"/>
          <w:sz w:val="31"/>
          <w:szCs w:val="31"/>
        </w:rPr>
        <w:t>此外，进一步健全渔业、农机、饲料等行业领域安全监管长效机制，全年没有发生农业安全生产事故。</w:t>
      </w:r>
    </w:p>
    <w:p>
      <w:pPr>
        <w:adjustRightInd w:val="0"/>
        <w:snapToGrid w:val="0"/>
        <w:spacing w:line="590" w:lineRule="exact"/>
        <w:ind w:firstLine="622" w:firstLineChars="200"/>
        <w:rPr>
          <w:rFonts w:hint="eastAsia" w:ascii="仿宋_GB2312" w:eastAsia="仿宋_GB2312"/>
          <w:sz w:val="31"/>
          <w:szCs w:val="31"/>
        </w:rPr>
      </w:pPr>
      <w:r>
        <w:rPr>
          <w:rFonts w:hint="eastAsia" w:ascii="楷体_GB2312" w:eastAsia="楷体_GB2312"/>
          <w:b/>
          <w:sz w:val="31"/>
          <w:szCs w:val="31"/>
          <w:lang w:val="en-US" w:eastAsia="zh-CN"/>
        </w:rPr>
        <w:t>4</w:t>
      </w:r>
      <w:r>
        <w:rPr>
          <w:rFonts w:hint="eastAsia" w:ascii="楷体_GB2312" w:eastAsia="楷体_GB2312"/>
          <w:b/>
          <w:sz w:val="31"/>
          <w:szCs w:val="31"/>
        </w:rPr>
        <w:t>.农业面源污染得到控制。</w:t>
      </w:r>
      <w:r>
        <w:rPr>
          <w:rFonts w:hint="eastAsia" w:ascii="仿宋_GB2312" w:eastAsia="仿宋_GB2312"/>
          <w:b/>
          <w:sz w:val="31"/>
          <w:szCs w:val="31"/>
        </w:rPr>
        <w:t>一是养殖业污染治理成效显著。</w:t>
      </w:r>
      <w:r>
        <w:rPr>
          <w:rFonts w:hint="eastAsia" w:hAnsi="仿宋" w:eastAsia="仿宋"/>
          <w:sz w:val="31"/>
          <w:szCs w:val="31"/>
        </w:rPr>
        <w:t>全面推进生猪养殖场标准化升级改造，顺利通过中央环保督查组检查，全年共完成标准化提升改造254家，投入改造资金9500万元，关闭拆除猪场</w:t>
      </w:r>
      <w:r>
        <w:rPr>
          <w:rFonts w:hAnsi="仿宋" w:eastAsia="仿宋"/>
          <w:sz w:val="31"/>
          <w:szCs w:val="31"/>
        </w:rPr>
        <w:t>1</w:t>
      </w:r>
      <w:r>
        <w:rPr>
          <w:rFonts w:hint="eastAsia" w:hAnsi="仿宋" w:eastAsia="仿宋"/>
          <w:sz w:val="31"/>
          <w:szCs w:val="31"/>
        </w:rPr>
        <w:t>302户，53.5万平方米，减栏生猪25.4万头，主要流域断面水质持续好转。</w:t>
      </w:r>
      <w:r>
        <w:rPr>
          <w:rFonts w:hint="eastAsia" w:ascii="仿宋_GB2312" w:eastAsia="仿宋_GB2312"/>
          <w:b/>
          <w:sz w:val="31"/>
          <w:szCs w:val="31"/>
        </w:rPr>
        <w:t>二是化肥农药减量行动计划有序实施。</w:t>
      </w:r>
      <w:r>
        <w:rPr>
          <w:rFonts w:hint="eastAsia" w:ascii="仿宋_GB2312" w:eastAsia="仿宋_GB2312"/>
          <w:sz w:val="31"/>
          <w:szCs w:val="31"/>
        </w:rPr>
        <w:t>大力推广测土配方施肥、绿色防控、统防统治等技术，鼓励增施有机肥，种植绿肥，实现化肥、农药的持续减量使用。全年</w:t>
      </w:r>
      <w:r>
        <w:rPr>
          <w:rFonts w:hint="eastAsia" w:eastAsia="仿宋_GB2312"/>
          <w:sz w:val="31"/>
          <w:szCs w:val="31"/>
        </w:rPr>
        <w:t>共完成配方肥推广面积5万亩，商品有机肥推广面积9000亩，示范推广种植紫云英绿肥面积2.5万亩。完成农作物病虫害绿色防控技术推广面积</w:t>
      </w:r>
      <w:r>
        <w:rPr>
          <w:rFonts w:eastAsia="仿宋_GB2312"/>
          <w:sz w:val="31"/>
          <w:szCs w:val="31"/>
        </w:rPr>
        <w:t>37.1</w:t>
      </w:r>
      <w:r>
        <w:rPr>
          <w:rFonts w:hint="eastAsia" w:eastAsia="仿宋_GB2312"/>
          <w:sz w:val="31"/>
          <w:szCs w:val="31"/>
        </w:rPr>
        <w:t>万亩次；农作物专业化统防统治面积</w:t>
      </w:r>
      <w:r>
        <w:rPr>
          <w:rFonts w:eastAsia="仿宋_GB2312"/>
          <w:sz w:val="31"/>
          <w:szCs w:val="31"/>
        </w:rPr>
        <w:t>9.6</w:t>
      </w:r>
      <w:r>
        <w:rPr>
          <w:rFonts w:hint="eastAsia" w:eastAsia="仿宋_GB2312"/>
          <w:sz w:val="31"/>
          <w:szCs w:val="31"/>
        </w:rPr>
        <w:t>万亩，统防统治覆盖率达36%。</w:t>
      </w:r>
      <w:r>
        <w:rPr>
          <w:rFonts w:hint="eastAsia" w:ascii="仿宋_GB2312" w:eastAsia="仿宋_GB2312"/>
          <w:b/>
          <w:sz w:val="31"/>
          <w:szCs w:val="31"/>
        </w:rPr>
        <w:t>三是农业废弃物资源化利用有序推进。</w:t>
      </w:r>
      <w:r>
        <w:rPr>
          <w:rFonts w:hint="eastAsia" w:eastAsia="仿宋_GB2312"/>
          <w:sz w:val="31"/>
          <w:szCs w:val="31"/>
        </w:rPr>
        <w:t>积极推进畜禽粪污资源化利用项目，国家级畜禽粪污资源化利用整县推进项目成功通过农业部答辩</w:t>
      </w:r>
      <w:r>
        <w:rPr>
          <w:rFonts w:hint="eastAsia" w:ascii="仿宋_GB2312" w:hAnsi="仿宋" w:eastAsia="仿宋_GB2312" w:cs="仿宋"/>
          <w:kern w:val="0"/>
          <w:sz w:val="31"/>
          <w:szCs w:val="31"/>
        </w:rPr>
        <w:t>。进一步加强病死猪无害化处理厂的监管，全年</w:t>
      </w:r>
      <w:r>
        <w:rPr>
          <w:rFonts w:hint="eastAsia" w:ascii="仿宋_GB2312" w:eastAsia="仿宋_GB2312"/>
          <w:sz w:val="31"/>
          <w:szCs w:val="31"/>
        </w:rPr>
        <w:t>共无害化处理病死猪40万头，有效保障畜产品质量和公共卫生安全。</w:t>
      </w:r>
    </w:p>
    <w:p>
      <w:pPr>
        <w:adjustRightInd w:val="0"/>
        <w:snapToGrid w:val="0"/>
        <w:spacing w:line="590" w:lineRule="exact"/>
        <w:ind w:firstLine="622" w:firstLineChars="200"/>
        <w:rPr>
          <w:rFonts w:hint="eastAsia" w:ascii="仿宋_GB2312" w:eastAsia="仿宋_GB2312"/>
          <w:color w:val="000000"/>
          <w:sz w:val="31"/>
          <w:szCs w:val="31"/>
        </w:rPr>
      </w:pPr>
      <w:r>
        <w:rPr>
          <w:rFonts w:hint="eastAsia" w:ascii="楷体_GB2312" w:eastAsia="楷体_GB2312"/>
          <w:b/>
          <w:sz w:val="31"/>
          <w:szCs w:val="31"/>
          <w:lang w:val="en-US" w:eastAsia="zh-CN"/>
        </w:rPr>
        <w:t>5</w:t>
      </w:r>
      <w:r>
        <w:rPr>
          <w:rFonts w:hint="eastAsia" w:ascii="楷体_GB2312" w:eastAsia="楷体_GB2312"/>
          <w:b/>
          <w:sz w:val="31"/>
          <w:szCs w:val="31"/>
        </w:rPr>
        <w:t>.农村改革有序推进。</w:t>
      </w:r>
      <w:r>
        <w:rPr>
          <w:rFonts w:hint="eastAsia" w:ascii="仿宋_GB2312" w:eastAsia="仿宋_GB2312"/>
          <w:b/>
          <w:color w:val="000000"/>
          <w:sz w:val="31"/>
          <w:szCs w:val="31"/>
        </w:rPr>
        <w:t>一是土地确权工作基本完成。</w:t>
      </w:r>
      <w:r>
        <w:rPr>
          <w:rFonts w:hint="eastAsia" w:ascii="仿宋_GB2312" w:eastAsia="仿宋_GB2312"/>
          <w:color w:val="000000"/>
          <w:sz w:val="31"/>
          <w:szCs w:val="31"/>
        </w:rPr>
        <w:t>全区295个行政村（居）已全部完成权属调查和审核公示，已完成合同签订294个村，占99.7%。</w:t>
      </w:r>
      <w:r>
        <w:rPr>
          <w:rFonts w:hint="eastAsia" w:ascii="仿宋_GB2312" w:eastAsia="仿宋_GB2312"/>
          <w:b/>
          <w:color w:val="000000"/>
          <w:sz w:val="31"/>
          <w:szCs w:val="31"/>
        </w:rPr>
        <w:t>二是农村土地流转全面推进。</w:t>
      </w:r>
      <w:r>
        <w:rPr>
          <w:rFonts w:hint="eastAsia" w:ascii="仿宋_GB2312" w:eastAsia="仿宋_GB2312"/>
          <w:color w:val="000000"/>
          <w:sz w:val="31"/>
          <w:szCs w:val="31"/>
        </w:rPr>
        <w:t>全区农村土地流转面积达8.6291万亩，占农户承包地面积47.84%，涉及农户2.6万户。</w:t>
      </w:r>
    </w:p>
    <w:p>
      <w:pPr>
        <w:adjustRightInd w:val="0"/>
        <w:snapToGrid w:val="0"/>
        <w:spacing w:line="590" w:lineRule="exact"/>
        <w:ind w:firstLine="622" w:firstLineChars="200"/>
        <w:rPr>
          <w:rFonts w:hint="eastAsia" w:ascii="仿宋_GB2312" w:hAnsi="仿宋" w:eastAsia="仿宋_GB2312"/>
          <w:sz w:val="32"/>
          <w:szCs w:val="32"/>
        </w:rPr>
      </w:pPr>
      <w:r>
        <w:rPr>
          <w:rFonts w:hint="eastAsia" w:ascii="楷体_GB2312" w:eastAsia="楷体_GB2312"/>
          <w:b/>
          <w:sz w:val="31"/>
          <w:szCs w:val="31"/>
          <w:lang w:val="en-US" w:eastAsia="zh-CN"/>
        </w:rPr>
        <w:t>6</w:t>
      </w:r>
      <w:r>
        <w:rPr>
          <w:rFonts w:hint="eastAsia" w:ascii="楷体_GB2312" w:eastAsia="楷体_GB2312"/>
          <w:b/>
          <w:sz w:val="31"/>
          <w:szCs w:val="31"/>
        </w:rPr>
        <w:t>.脱贫攻坚再创佳绩。</w:t>
      </w:r>
      <w:r>
        <w:rPr>
          <w:rFonts w:hint="eastAsia" w:ascii="仿宋_GB2312" w:eastAsia="仿宋_GB2312"/>
          <w:sz w:val="31"/>
          <w:szCs w:val="31"/>
        </w:rPr>
        <w:t>全面实施“七大扶贫工程”，实现1个扶贫开发重点镇、15个贫困村摘帽任务，预计完成脱贫5225人，两年预计脱贫达12259人。全年8个造福工程集中安置点全部完工，易地扶贫搬迁竣工238户，搬迁628人，完成任务比例124.6%；发放扶贫小额贷款4830.5万元，完成任务数的132.34%。自脱贫攻坚战役以来，我区扶贫成效综合排名始终位居全市前茅，其中首创的竞争性扶贫机制在全市推广。</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w:t>
      </w:r>
      <w:r>
        <w:rPr>
          <w:rFonts w:hint="eastAsia" w:ascii="仿宋" w:hAnsi="仿宋" w:eastAsia="仿宋"/>
          <w:sz w:val="32"/>
          <w:szCs w:val="32"/>
        </w:rPr>
        <w:t>2017</w:t>
      </w:r>
      <w:r>
        <w:rPr>
          <w:rFonts w:hint="eastAsia" w:ascii="黑体" w:hAnsi="黑体" w:eastAsia="黑体"/>
          <w:sz w:val="32"/>
          <w:szCs w:val="32"/>
        </w:rPr>
        <w:t>年决算收支总体情况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w:t>
      </w:r>
      <w:r>
        <w:rPr>
          <w:rFonts w:hint="eastAsia" w:ascii="仿宋" w:hAnsi="仿宋" w:eastAsia="仿宋" w:cs="仿宋_GB2312"/>
          <w:sz w:val="32"/>
          <w:szCs w:val="32"/>
          <w:lang w:eastAsia="zh-CN"/>
        </w:rPr>
        <w:t>农业局</w:t>
      </w:r>
      <w:r>
        <w:rPr>
          <w:rFonts w:hint="eastAsia" w:ascii="仿宋" w:hAnsi="仿宋" w:eastAsia="仿宋" w:cs="仿宋_GB2312"/>
          <w:sz w:val="32"/>
          <w:szCs w:val="32"/>
        </w:rPr>
        <w:t>部门年初结转和结余</w:t>
      </w:r>
      <w:r>
        <w:rPr>
          <w:rFonts w:hint="eastAsia" w:ascii="仿宋" w:hAnsi="仿宋" w:eastAsia="仿宋" w:cs="仿宋_GB2312"/>
          <w:sz w:val="32"/>
          <w:szCs w:val="32"/>
          <w:lang w:val="en-US" w:eastAsia="zh-CN"/>
        </w:rPr>
        <w:t>4065.45</w:t>
      </w:r>
      <w:r>
        <w:rPr>
          <w:rFonts w:hint="eastAsia" w:ascii="仿宋" w:hAnsi="仿宋" w:eastAsia="仿宋" w:cs="仿宋_GB2312"/>
          <w:sz w:val="32"/>
          <w:szCs w:val="32"/>
        </w:rPr>
        <w:t>万元，本年收入</w:t>
      </w:r>
      <w:r>
        <w:rPr>
          <w:rFonts w:hint="eastAsia" w:ascii="仿宋" w:hAnsi="仿宋" w:eastAsia="仿宋" w:cs="仿宋_GB2312"/>
          <w:sz w:val="32"/>
          <w:szCs w:val="32"/>
          <w:lang w:val="en-US" w:eastAsia="zh-CN"/>
        </w:rPr>
        <w:t>8790.83</w:t>
      </w:r>
      <w:r>
        <w:rPr>
          <w:rFonts w:hint="eastAsia" w:ascii="仿宋" w:hAnsi="仿宋" w:eastAsia="仿宋" w:cs="仿宋_GB2312"/>
          <w:sz w:val="32"/>
          <w:szCs w:val="32"/>
        </w:rPr>
        <w:t>万元，本年支出</w:t>
      </w:r>
      <w:r>
        <w:rPr>
          <w:rFonts w:hint="eastAsia" w:ascii="仿宋" w:hAnsi="仿宋" w:eastAsia="仿宋" w:cs="仿宋"/>
          <w:sz w:val="32"/>
          <w:szCs w:val="32"/>
          <w:lang w:val="en-US"/>
        </w:rPr>
        <w:t>8002.43</w:t>
      </w:r>
      <w:r>
        <w:rPr>
          <w:rFonts w:hint="eastAsia" w:ascii="仿宋" w:hAnsi="仿宋" w:eastAsia="仿宋" w:cs="仿宋_GB2312"/>
          <w:sz w:val="32"/>
          <w:szCs w:val="32"/>
        </w:rPr>
        <w:t>万元，事业基金弥补收支差</w:t>
      </w:r>
      <w:r>
        <w:rPr>
          <w:rFonts w:hint="eastAsia" w:ascii="仿宋" w:hAnsi="仿宋" w:eastAsia="仿宋" w:cs="仿宋_GB2312"/>
          <w:sz w:val="32"/>
          <w:szCs w:val="32"/>
          <w:lang w:eastAsia="zh-CN"/>
        </w:rPr>
        <w:t>额</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万元，结余分配</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万元，年末结转和结余</w:t>
      </w:r>
      <w:r>
        <w:rPr>
          <w:rFonts w:hint="eastAsia" w:ascii="仿宋" w:hAnsi="仿宋" w:eastAsia="仿宋" w:cs="仿宋_GB2312"/>
          <w:sz w:val="32"/>
          <w:szCs w:val="32"/>
          <w:lang w:val="en-US" w:eastAsia="zh-CN"/>
        </w:rPr>
        <w:t>4853.85</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val="en-US" w:eastAsia="zh-CN"/>
        </w:rPr>
        <w:t>2017</w:t>
      </w:r>
      <w:r>
        <w:rPr>
          <w:rFonts w:hint="eastAsia" w:ascii="仿宋" w:hAnsi="仿宋" w:eastAsia="仿宋" w:cs="仿宋_GB2312"/>
          <w:sz w:val="32"/>
          <w:szCs w:val="32"/>
        </w:rPr>
        <w:t>年收入</w:t>
      </w:r>
      <w:r>
        <w:rPr>
          <w:rFonts w:hint="eastAsia" w:ascii="仿宋" w:hAnsi="仿宋" w:eastAsia="仿宋" w:cs="仿宋_GB2312"/>
          <w:sz w:val="32"/>
          <w:szCs w:val="32"/>
          <w:lang w:val="en-US" w:eastAsia="zh-CN"/>
        </w:rPr>
        <w:t>8790.83</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w:t>
      </w:r>
      <w:r>
        <w:rPr>
          <w:rFonts w:hint="eastAsia" w:ascii="仿宋" w:hAnsi="仿宋" w:eastAsia="仿宋" w:cs="仿宋_GB2312"/>
          <w:sz w:val="32"/>
          <w:szCs w:val="32"/>
          <w:lang w:val="en-US" w:eastAsia="zh-CN"/>
        </w:rPr>
        <w:t>8088.08万元，</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702.75</w:t>
      </w:r>
      <w:r>
        <w:rPr>
          <w:rFonts w:hint="eastAsia" w:ascii="仿宋" w:hAnsi="仿宋" w:eastAsia="仿宋" w:cs="仿宋_GB2312"/>
          <w:sz w:val="32"/>
          <w:szCs w:val="32"/>
        </w:rPr>
        <w:t>万元，</w:t>
      </w:r>
      <w:r>
        <w:rPr>
          <w:rFonts w:hint="eastAsia" w:ascii="仿宋" w:hAnsi="仿宋" w:eastAsia="仿宋" w:cs="仿宋_GB2312"/>
          <w:sz w:val="32"/>
          <w:szCs w:val="32"/>
          <w:lang w:eastAsia="zh-CN"/>
        </w:rPr>
        <w:t>增长</w:t>
      </w:r>
      <w:r>
        <w:rPr>
          <w:rFonts w:hint="eastAsia" w:ascii="仿宋" w:hAnsi="仿宋" w:eastAsia="仿宋" w:cs="仿宋_GB2312"/>
          <w:sz w:val="32"/>
          <w:szCs w:val="32"/>
          <w:lang w:val="en-US" w:eastAsia="zh-CN"/>
        </w:rPr>
        <w:t>8.69</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autoSpaceDE w:val="0"/>
        <w:autoSpaceDN w:val="0"/>
        <w:adjustRightInd w:val="0"/>
        <w:spacing w:line="600" w:lineRule="exact"/>
        <w:ind w:left="160" w:leftChars="76" w:firstLine="480" w:firstLineChars="150"/>
        <w:rPr>
          <w:rFonts w:ascii="仿宋" w:hAnsi="仿宋" w:eastAsia="仿宋"/>
          <w:sz w:val="32"/>
          <w:szCs w:val="32"/>
        </w:rPr>
      </w:pPr>
      <w:r>
        <w:rPr>
          <w:rFonts w:ascii="仿宋" w:hAnsi="仿宋" w:eastAsia="仿宋" w:cs="仿宋_GB2312"/>
          <w:sz w:val="32"/>
          <w:szCs w:val="32"/>
        </w:rPr>
        <w:t>1.财政拨款收入</w:t>
      </w:r>
      <w:r>
        <w:rPr>
          <w:rFonts w:hint="eastAsia" w:ascii="仿宋" w:hAnsi="仿宋" w:eastAsia="仿宋" w:cs="仿宋_GB2312"/>
          <w:sz w:val="32"/>
          <w:szCs w:val="32"/>
          <w:lang w:val="en-US" w:eastAsia="zh-CN"/>
        </w:rPr>
        <w:t>7576.4</w:t>
      </w:r>
      <w:r>
        <w:rPr>
          <w:rFonts w:ascii="仿宋" w:hAnsi="仿宋" w:eastAsia="仿宋" w:cs="仿宋_GB2312"/>
          <w:sz w:val="32"/>
          <w:szCs w:val="32"/>
        </w:rPr>
        <w:t>万元，其中政府性基金</w:t>
      </w:r>
      <w:r>
        <w:rPr>
          <w:rFonts w:hint="eastAsia" w:ascii="仿宋" w:hAnsi="仿宋" w:eastAsia="仿宋" w:cs="仿宋_GB2312"/>
          <w:sz w:val="32"/>
          <w:szCs w:val="32"/>
          <w:lang w:val="en-US" w:eastAsia="zh-CN"/>
        </w:rPr>
        <w:t>0</w:t>
      </w:r>
      <w:r>
        <w:rPr>
          <w:rFonts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2.事业收入</w:t>
      </w:r>
      <w:r>
        <w:rPr>
          <w:rFonts w:hint="eastAsia" w:ascii="仿宋" w:hAnsi="仿宋" w:eastAsia="仿宋" w:cs="仿宋_GB2312"/>
          <w:sz w:val="32"/>
          <w:szCs w:val="32"/>
          <w:lang w:val="en-US" w:eastAsia="zh-CN"/>
        </w:rPr>
        <w:t>5.83</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3.经营收入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sz w:val="32"/>
          <w:szCs w:val="32"/>
        </w:rPr>
        <w:t>上级补助收入</w:t>
      </w:r>
      <w:r>
        <w:rPr>
          <w:rFonts w:hint="eastAsia" w:ascii="仿宋" w:hAnsi="仿宋" w:eastAsia="仿宋"/>
          <w:sz w:val="32"/>
          <w:szCs w:val="32"/>
          <w:lang w:val="en-US" w:eastAsia="zh-CN"/>
        </w:rPr>
        <w:t>7.46</w:t>
      </w:r>
      <w:r>
        <w:rPr>
          <w:rFonts w:hint="eastAsia" w:ascii="仿宋" w:hAnsi="仿宋" w:eastAsia="仿宋"/>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5.附属单位上缴收入</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仿宋_GB2312"/>
          <w:sz w:val="32"/>
          <w:szCs w:val="32"/>
        </w:rPr>
      </w:pPr>
      <w:r>
        <w:rPr>
          <w:rFonts w:ascii="仿宋" w:hAnsi="仿宋" w:eastAsia="仿宋" w:cs="仿宋_GB2312"/>
          <w:sz w:val="32"/>
          <w:szCs w:val="32"/>
        </w:rPr>
        <w:t>6.其他收入</w:t>
      </w:r>
      <w:r>
        <w:rPr>
          <w:rFonts w:hint="eastAsia" w:ascii="仿宋" w:hAnsi="仿宋" w:eastAsia="仿宋" w:cs="仿宋_GB2312"/>
          <w:sz w:val="32"/>
          <w:szCs w:val="32"/>
          <w:lang w:val="en-US" w:eastAsia="zh-CN"/>
        </w:rPr>
        <w:t>1201.14</w:t>
      </w:r>
      <w:r>
        <w:rPr>
          <w:rFonts w:hint="eastAsia" w:ascii="仿宋" w:hAnsi="仿宋" w:eastAsia="仿宋" w:cs="仿宋_GB2312"/>
          <w:sz w:val="32"/>
          <w:szCs w:val="32"/>
        </w:rPr>
        <w:t>万元。</w:t>
      </w:r>
    </w:p>
    <w:p>
      <w:pPr>
        <w:autoSpaceDE w:val="0"/>
        <w:autoSpaceDN w:val="0"/>
        <w:adjustRightInd w:val="0"/>
        <w:spacing w:line="600" w:lineRule="exact"/>
        <w:ind w:firstLine="640" w:firstLineChars="200"/>
        <w:rPr>
          <w:rFonts w:ascii="仿宋" w:hAnsi="仿宋" w:eastAsia="仿宋" w:cs="Times New Roman"/>
          <w:sz w:val="32"/>
          <w:szCs w:val="32"/>
        </w:rPr>
      </w:pPr>
      <w:r>
        <w:rPr>
          <w:rFonts w:hint="eastAsia" w:ascii="仿宋" w:hAnsi="仿宋" w:eastAsia="仿宋" w:cs="仿宋_GB2312"/>
          <w:sz w:val="32"/>
          <w:szCs w:val="32"/>
        </w:rPr>
        <w:t>（二）</w:t>
      </w:r>
      <w:r>
        <w:rPr>
          <w:rFonts w:hint="eastAsia" w:ascii="仿宋" w:hAnsi="仿宋" w:eastAsia="仿宋"/>
          <w:sz w:val="32"/>
          <w:szCs w:val="32"/>
        </w:rPr>
        <w:t>2017</w:t>
      </w:r>
      <w:r>
        <w:rPr>
          <w:rFonts w:hint="eastAsia" w:ascii="仿宋" w:hAnsi="仿宋" w:eastAsia="仿宋" w:cs="仿宋_GB2312"/>
          <w:sz w:val="32"/>
          <w:szCs w:val="32"/>
        </w:rPr>
        <w:t>年支出</w:t>
      </w:r>
      <w:r>
        <w:rPr>
          <w:rFonts w:hint="eastAsia" w:ascii="仿宋" w:hAnsi="仿宋" w:eastAsia="仿宋" w:cs="仿宋_GB2312"/>
          <w:sz w:val="32"/>
          <w:szCs w:val="32"/>
          <w:lang w:val="en-US" w:eastAsia="zh-CN"/>
        </w:rPr>
        <w:t>8002.43</w:t>
      </w:r>
      <w:r>
        <w:rPr>
          <w:rFonts w:hint="eastAsia" w:ascii="仿宋" w:hAnsi="仿宋" w:eastAsia="仿宋" w:cs="仿宋_GB2312"/>
          <w:sz w:val="32"/>
          <w:szCs w:val="32"/>
        </w:rPr>
        <w:t>万元，比</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w:t>
      </w:r>
      <w:r>
        <w:rPr>
          <w:rFonts w:hint="eastAsia" w:ascii="仿宋" w:hAnsi="仿宋" w:eastAsia="仿宋" w:cs="仿宋_GB2312"/>
          <w:sz w:val="32"/>
          <w:szCs w:val="32"/>
          <w:lang w:val="en-US" w:eastAsia="zh-CN"/>
        </w:rPr>
        <w:t>5168.8万元</w:t>
      </w:r>
      <w:r>
        <w:rPr>
          <w:rFonts w:hint="eastAsia" w:ascii="仿宋" w:hAnsi="仿宋" w:eastAsia="仿宋" w:cs="仿宋_GB2312"/>
          <w:sz w:val="32"/>
          <w:szCs w:val="32"/>
        </w:rPr>
        <w:t>增加</w:t>
      </w:r>
      <w:r>
        <w:rPr>
          <w:rFonts w:hint="eastAsia" w:ascii="仿宋" w:hAnsi="仿宋" w:eastAsia="仿宋" w:cs="仿宋_GB2312"/>
          <w:sz w:val="32"/>
          <w:szCs w:val="32"/>
          <w:lang w:val="en-US" w:eastAsia="zh-CN"/>
        </w:rPr>
        <w:t>2833.63</w:t>
      </w:r>
      <w:r>
        <w:rPr>
          <w:rFonts w:hint="eastAsia" w:ascii="仿宋" w:hAnsi="仿宋" w:eastAsia="仿宋" w:cs="仿宋_GB2312"/>
          <w:sz w:val="32"/>
          <w:szCs w:val="32"/>
        </w:rPr>
        <w:t>万元，增长</w:t>
      </w:r>
      <w:r>
        <w:rPr>
          <w:rFonts w:hint="eastAsia" w:ascii="仿宋" w:hAnsi="仿宋" w:eastAsia="仿宋" w:cs="仿宋_GB2312"/>
          <w:sz w:val="32"/>
          <w:szCs w:val="32"/>
          <w:lang w:val="en-US" w:eastAsia="zh-CN"/>
        </w:rPr>
        <w:t>54.82</w:t>
      </w:r>
      <w:r>
        <w:rPr>
          <w:rFonts w:hint="eastAsia" w:ascii="仿宋" w:hAnsi="仿宋" w:eastAsia="仿宋" w:cs="仿宋_GB2312"/>
          <w:sz w:val="32"/>
          <w:szCs w:val="32"/>
        </w:rPr>
        <w:t>％</w:t>
      </w:r>
      <w:r>
        <w:rPr>
          <w:rFonts w:hint="eastAsia" w:ascii="仿宋" w:hAnsi="仿宋" w:eastAsia="仿宋"/>
          <w:sz w:val="32"/>
          <w:szCs w:val="32"/>
        </w:rPr>
        <w:t>，</w:t>
      </w:r>
      <w:r>
        <w:rPr>
          <w:rFonts w:hint="eastAsia" w:ascii="仿宋" w:hAnsi="仿宋" w:eastAsia="仿宋" w:cs="仿宋_GB2312"/>
          <w:sz w:val="32"/>
          <w:szCs w:val="32"/>
        </w:rPr>
        <w:t>具体情况如下：</w:t>
      </w:r>
    </w:p>
    <w:p>
      <w:pPr>
        <w:tabs>
          <w:tab w:val="left" w:pos="7513"/>
        </w:tabs>
        <w:adjustRightInd w:val="0"/>
        <w:snapToGrid w:val="0"/>
        <w:spacing w:line="600" w:lineRule="exact"/>
        <w:ind w:left="237" w:leftChars="113" w:firstLine="480" w:firstLineChars="150"/>
        <w:rPr>
          <w:rFonts w:ascii="仿宋" w:hAnsi="仿宋" w:eastAsia="仿宋"/>
          <w:sz w:val="32"/>
          <w:szCs w:val="32"/>
        </w:rPr>
      </w:pPr>
      <w:r>
        <w:rPr>
          <w:rFonts w:ascii="仿宋" w:hAnsi="仿宋" w:eastAsia="仿宋" w:cs="仿宋_GB2312"/>
          <w:sz w:val="32"/>
          <w:szCs w:val="32"/>
        </w:rPr>
        <w:t>1.</w:t>
      </w:r>
      <w:r>
        <w:rPr>
          <w:rFonts w:hint="eastAsia" w:ascii="仿宋" w:hAnsi="仿宋" w:eastAsia="仿宋" w:cs="仿宋_GB2312"/>
          <w:sz w:val="32"/>
          <w:szCs w:val="32"/>
        </w:rPr>
        <w:t>基本支出</w:t>
      </w:r>
      <w:r>
        <w:rPr>
          <w:rFonts w:hint="eastAsia" w:ascii="仿宋" w:hAnsi="仿宋" w:eastAsia="仿宋" w:cs="仿宋_GB2312"/>
          <w:sz w:val="32"/>
          <w:szCs w:val="32"/>
          <w:lang w:val="en-US" w:eastAsia="zh-CN"/>
        </w:rPr>
        <w:t>2578.18</w:t>
      </w:r>
      <w:r>
        <w:rPr>
          <w:rFonts w:hint="eastAsia" w:ascii="仿宋" w:hAnsi="仿宋" w:eastAsia="仿宋" w:cs="仿宋_GB2312"/>
          <w:sz w:val="32"/>
          <w:szCs w:val="32"/>
        </w:rPr>
        <w:t>万元。其中，人员支出</w:t>
      </w:r>
      <w:r>
        <w:rPr>
          <w:rFonts w:hint="eastAsia" w:ascii="仿宋" w:hAnsi="仿宋" w:eastAsia="仿宋" w:cs="仿宋_GB2312"/>
          <w:sz w:val="32"/>
          <w:szCs w:val="32"/>
          <w:lang w:val="en-US" w:eastAsia="zh-CN"/>
        </w:rPr>
        <w:t>2454.40</w:t>
      </w:r>
      <w:r>
        <w:rPr>
          <w:rFonts w:hint="eastAsia" w:ascii="仿宋" w:hAnsi="仿宋" w:eastAsia="仿宋" w:cs="仿宋_GB2312"/>
          <w:sz w:val="32"/>
          <w:szCs w:val="32"/>
        </w:rPr>
        <w:t>万元，公用支出</w:t>
      </w:r>
      <w:r>
        <w:rPr>
          <w:rFonts w:hint="eastAsia" w:ascii="仿宋" w:hAnsi="仿宋" w:eastAsia="仿宋" w:cs="仿宋_GB2312"/>
          <w:sz w:val="32"/>
          <w:szCs w:val="32"/>
          <w:lang w:val="en-US" w:eastAsia="zh-CN"/>
        </w:rPr>
        <w:t>123.78</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2.</w:t>
      </w:r>
      <w:r>
        <w:rPr>
          <w:rFonts w:hint="eastAsia" w:ascii="仿宋" w:hAnsi="仿宋" w:eastAsia="仿宋" w:cs="仿宋_GB2312"/>
          <w:sz w:val="32"/>
          <w:szCs w:val="32"/>
        </w:rPr>
        <w:t>项目支出</w:t>
      </w:r>
      <w:r>
        <w:rPr>
          <w:rFonts w:hint="eastAsia" w:ascii="仿宋" w:hAnsi="仿宋" w:eastAsia="仿宋" w:cs="仿宋_GB2312"/>
          <w:sz w:val="32"/>
          <w:szCs w:val="32"/>
          <w:lang w:val="en-US" w:eastAsia="zh-CN"/>
        </w:rPr>
        <w:t>5424.25</w:t>
      </w:r>
      <w:r>
        <w:rPr>
          <w:rFonts w:hint="eastAsia" w:ascii="仿宋" w:hAnsi="仿宋" w:eastAsia="仿宋" w:cs="仿宋_GB2312"/>
          <w:sz w:val="32"/>
          <w:szCs w:val="32"/>
        </w:rPr>
        <w:t>万元。</w:t>
      </w:r>
    </w:p>
    <w:p>
      <w:pPr>
        <w:tabs>
          <w:tab w:val="left" w:pos="7513"/>
        </w:tabs>
        <w:adjustRightInd w:val="0"/>
        <w:snapToGrid w:val="0"/>
        <w:spacing w:line="600" w:lineRule="exact"/>
        <w:ind w:left="716" w:leftChars="341"/>
        <w:rPr>
          <w:rFonts w:ascii="仿宋" w:hAnsi="仿宋" w:eastAsia="仿宋"/>
          <w:sz w:val="32"/>
          <w:szCs w:val="32"/>
        </w:rPr>
      </w:pPr>
      <w:r>
        <w:rPr>
          <w:rFonts w:ascii="仿宋" w:hAnsi="仿宋" w:eastAsia="仿宋" w:cs="仿宋_GB2312"/>
          <w:sz w:val="32"/>
          <w:szCs w:val="32"/>
        </w:rPr>
        <w:t>3.</w:t>
      </w:r>
      <w:r>
        <w:rPr>
          <w:rFonts w:hint="eastAsia" w:ascii="仿宋" w:hAnsi="仿宋" w:eastAsia="仿宋" w:cs="仿宋_GB2312"/>
          <w:sz w:val="32"/>
          <w:szCs w:val="32"/>
        </w:rPr>
        <w:t>上缴上级支出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tabs>
          <w:tab w:val="left" w:pos="7513"/>
        </w:tabs>
        <w:adjustRightInd w:val="0"/>
        <w:snapToGrid w:val="0"/>
        <w:spacing w:line="600" w:lineRule="exact"/>
        <w:ind w:firstLine="640" w:firstLineChars="200"/>
        <w:rPr>
          <w:rFonts w:ascii="仿宋" w:hAnsi="仿宋" w:eastAsia="仿宋"/>
          <w:sz w:val="32"/>
          <w:szCs w:val="32"/>
        </w:rPr>
      </w:pPr>
      <w:r>
        <w:rPr>
          <w:rFonts w:ascii="仿宋" w:hAnsi="仿宋" w:eastAsia="仿宋" w:cs="仿宋_GB2312"/>
          <w:sz w:val="32"/>
          <w:szCs w:val="32"/>
        </w:rPr>
        <w:t>4.</w:t>
      </w:r>
      <w:r>
        <w:rPr>
          <w:rFonts w:hint="eastAsia" w:ascii="仿宋" w:hAnsi="仿宋" w:eastAsia="仿宋" w:cs="仿宋_GB2312"/>
          <w:sz w:val="32"/>
          <w:szCs w:val="32"/>
        </w:rPr>
        <w:t>经营支出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仿宋" w:hAnsi="仿宋" w:eastAsia="仿宋"/>
          <w:sz w:val="32"/>
          <w:szCs w:val="32"/>
        </w:rPr>
      </w:pPr>
      <w:r>
        <w:rPr>
          <w:rFonts w:ascii="仿宋" w:hAnsi="仿宋" w:eastAsia="仿宋" w:cs="仿宋_GB2312"/>
          <w:sz w:val="32"/>
          <w:szCs w:val="32"/>
        </w:rPr>
        <w:t>5.</w:t>
      </w:r>
      <w:r>
        <w:rPr>
          <w:rFonts w:hint="eastAsia" w:ascii="仿宋" w:hAnsi="仿宋" w:eastAsia="仿宋" w:cs="仿宋_GB2312"/>
          <w:sz w:val="32"/>
          <w:szCs w:val="32"/>
        </w:rPr>
        <w:t>对附属单位补助支出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五、一般公共预算拨款支出决算情况</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2017年一般公共预算拨款支出</w:t>
      </w:r>
      <w:r>
        <w:rPr>
          <w:rFonts w:hint="eastAsia" w:ascii="仿宋" w:hAnsi="仿宋" w:eastAsia="仿宋"/>
          <w:sz w:val="32"/>
          <w:szCs w:val="32"/>
          <w:lang w:val="en-US" w:eastAsia="zh-CN"/>
        </w:rPr>
        <w:t>7050.26</w:t>
      </w:r>
      <w:r>
        <w:rPr>
          <w:rFonts w:hint="eastAsia" w:ascii="仿宋" w:hAnsi="仿宋" w:eastAsia="仿宋"/>
          <w:sz w:val="32"/>
          <w:szCs w:val="32"/>
        </w:rPr>
        <w:t>万元，比上年决算</w:t>
      </w:r>
      <w:r>
        <w:rPr>
          <w:rFonts w:hint="eastAsia" w:ascii="仿宋" w:hAnsi="仿宋" w:eastAsia="仿宋"/>
          <w:sz w:val="32"/>
          <w:szCs w:val="32"/>
          <w:lang w:val="en-US" w:eastAsia="zh-CN"/>
        </w:rPr>
        <w:t>3489.74万元，</w:t>
      </w:r>
      <w:r>
        <w:rPr>
          <w:rFonts w:hint="eastAsia" w:ascii="仿宋" w:hAnsi="仿宋" w:eastAsia="仿宋"/>
          <w:sz w:val="32"/>
          <w:szCs w:val="32"/>
        </w:rPr>
        <w:t>增加</w:t>
      </w:r>
      <w:r>
        <w:rPr>
          <w:rFonts w:hint="eastAsia" w:ascii="仿宋" w:hAnsi="仿宋" w:eastAsia="仿宋"/>
          <w:sz w:val="32"/>
          <w:szCs w:val="32"/>
          <w:lang w:val="en-US" w:eastAsia="zh-CN"/>
        </w:rPr>
        <w:t>3560.52</w:t>
      </w:r>
      <w:r>
        <w:rPr>
          <w:rFonts w:hint="eastAsia" w:ascii="仿宋" w:hAnsi="仿宋" w:eastAsia="仿宋"/>
          <w:sz w:val="32"/>
          <w:szCs w:val="32"/>
        </w:rPr>
        <w:t>万元，增长</w:t>
      </w:r>
      <w:r>
        <w:rPr>
          <w:rFonts w:hint="eastAsia" w:ascii="仿宋" w:hAnsi="仿宋" w:eastAsia="仿宋"/>
          <w:sz w:val="32"/>
          <w:szCs w:val="32"/>
          <w:lang w:val="en-US" w:eastAsia="zh-CN"/>
        </w:rPr>
        <w:t>102.03</w:t>
      </w:r>
      <w:r>
        <w:rPr>
          <w:rFonts w:ascii="仿宋" w:hAnsi="仿宋" w:eastAsia="仿宋"/>
          <w:sz w:val="32"/>
          <w:szCs w:val="32"/>
        </w:rPr>
        <w:t>%，具体情况如下(按项级科目分类统计)：</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（一）2130101行政运行</w:t>
      </w:r>
      <w:r>
        <w:rPr>
          <w:rFonts w:hint="eastAsia" w:ascii="仿宋" w:hAnsi="仿宋" w:eastAsia="仿宋"/>
          <w:sz w:val="32"/>
          <w:szCs w:val="32"/>
        </w:rPr>
        <w:tab/>
      </w:r>
      <w:r>
        <w:rPr>
          <w:rFonts w:hint="eastAsia" w:ascii="仿宋" w:hAnsi="仿宋" w:eastAsia="仿宋"/>
          <w:sz w:val="32"/>
          <w:szCs w:val="32"/>
          <w:lang w:val="en-US" w:eastAsia="zh-CN"/>
        </w:rPr>
        <w:t>2276.37</w:t>
      </w:r>
      <w:r>
        <w:rPr>
          <w:rFonts w:hint="eastAsia" w:ascii="仿宋" w:hAnsi="仿宋" w:eastAsia="仿宋"/>
          <w:sz w:val="32"/>
          <w:szCs w:val="32"/>
        </w:rPr>
        <w:t>万元，较上年决算数增加</w:t>
      </w:r>
      <w:r>
        <w:rPr>
          <w:rFonts w:hint="eastAsia" w:ascii="仿宋" w:hAnsi="仿宋" w:eastAsia="仿宋"/>
          <w:sz w:val="32"/>
          <w:szCs w:val="32"/>
          <w:lang w:val="en-US" w:eastAsia="zh-CN"/>
        </w:rPr>
        <w:t>78.27</w:t>
      </w:r>
      <w:r>
        <w:rPr>
          <w:rFonts w:hint="eastAsia" w:ascii="仿宋" w:hAnsi="仿宋" w:eastAsia="仿宋"/>
          <w:sz w:val="32"/>
          <w:szCs w:val="32"/>
        </w:rPr>
        <w:t>万元，增长</w:t>
      </w:r>
      <w:r>
        <w:rPr>
          <w:rFonts w:hint="eastAsia" w:ascii="仿宋" w:hAnsi="仿宋" w:eastAsia="仿宋"/>
          <w:sz w:val="32"/>
          <w:szCs w:val="32"/>
          <w:lang w:val="en-US" w:eastAsia="zh-CN"/>
        </w:rPr>
        <w:t>3.56</w:t>
      </w:r>
      <w:r>
        <w:rPr>
          <w:rFonts w:ascii="仿宋" w:hAnsi="仿宋" w:eastAsia="仿宋"/>
          <w:sz w:val="32"/>
          <w:szCs w:val="32"/>
        </w:rPr>
        <w:t>%。主要原因是</w:t>
      </w:r>
      <w:r>
        <w:rPr>
          <w:rFonts w:hint="eastAsia" w:ascii="仿宋" w:hAnsi="仿宋" w:eastAsia="仿宋"/>
          <w:sz w:val="32"/>
          <w:szCs w:val="32"/>
          <w:lang w:eastAsia="zh-CN"/>
        </w:rPr>
        <w:t>人员预算经费增加</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（二）2130106</w:t>
      </w:r>
      <w:r>
        <w:rPr>
          <w:rFonts w:hint="eastAsia" w:ascii="仿宋" w:hAnsi="仿宋" w:eastAsia="仿宋"/>
          <w:sz w:val="32"/>
          <w:szCs w:val="32"/>
        </w:rPr>
        <w:tab/>
      </w:r>
      <w:r>
        <w:rPr>
          <w:rFonts w:hint="eastAsia" w:ascii="仿宋" w:hAnsi="仿宋" w:eastAsia="仿宋"/>
          <w:sz w:val="32"/>
          <w:szCs w:val="32"/>
        </w:rPr>
        <w:t>科技转化与推广服务</w:t>
      </w:r>
      <w:r>
        <w:rPr>
          <w:rFonts w:hint="eastAsia" w:ascii="仿宋" w:hAnsi="仿宋" w:eastAsia="仿宋"/>
          <w:sz w:val="32"/>
          <w:szCs w:val="32"/>
        </w:rPr>
        <w:tab/>
      </w:r>
      <w:r>
        <w:rPr>
          <w:rFonts w:hint="eastAsia" w:ascii="仿宋" w:hAnsi="仿宋" w:eastAsia="仿宋"/>
          <w:sz w:val="32"/>
          <w:szCs w:val="32"/>
          <w:lang w:val="en-US" w:eastAsia="zh-CN"/>
        </w:rPr>
        <w:t>221.72万元</w:t>
      </w:r>
      <w:r>
        <w:rPr>
          <w:rFonts w:hint="eastAsia" w:ascii="仿宋" w:hAnsi="仿宋" w:eastAsia="仿宋"/>
          <w:sz w:val="32"/>
          <w:szCs w:val="32"/>
        </w:rPr>
        <w:t>，较上年决算数增加</w:t>
      </w:r>
      <w:r>
        <w:rPr>
          <w:rFonts w:hint="eastAsia" w:ascii="仿宋" w:hAnsi="仿宋" w:eastAsia="仿宋"/>
          <w:sz w:val="32"/>
          <w:szCs w:val="32"/>
          <w:lang w:val="en-US" w:eastAsia="zh-CN"/>
        </w:rPr>
        <w:t>67.01</w:t>
      </w:r>
      <w:r>
        <w:rPr>
          <w:rFonts w:hint="eastAsia" w:ascii="仿宋" w:hAnsi="仿宋" w:eastAsia="仿宋"/>
          <w:sz w:val="32"/>
          <w:szCs w:val="32"/>
        </w:rPr>
        <w:t>万元，增长</w:t>
      </w:r>
      <w:r>
        <w:rPr>
          <w:rFonts w:hint="eastAsia" w:ascii="仿宋" w:hAnsi="仿宋" w:eastAsia="仿宋"/>
          <w:sz w:val="32"/>
          <w:szCs w:val="32"/>
          <w:lang w:val="en-US" w:eastAsia="zh-CN"/>
        </w:rPr>
        <w:t>43.31</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（三）2130108</w:t>
      </w:r>
      <w:r>
        <w:rPr>
          <w:rFonts w:hint="eastAsia" w:ascii="仿宋" w:hAnsi="仿宋" w:eastAsia="仿宋"/>
          <w:sz w:val="32"/>
          <w:szCs w:val="32"/>
        </w:rPr>
        <w:tab/>
      </w:r>
      <w:r>
        <w:rPr>
          <w:rFonts w:hint="eastAsia" w:ascii="仿宋" w:hAnsi="仿宋" w:eastAsia="仿宋"/>
          <w:sz w:val="32"/>
          <w:szCs w:val="32"/>
        </w:rPr>
        <w:t>病虫害控制</w:t>
      </w:r>
      <w:r>
        <w:rPr>
          <w:rFonts w:hint="eastAsia" w:ascii="仿宋" w:hAnsi="仿宋" w:eastAsia="仿宋"/>
          <w:sz w:val="32"/>
          <w:szCs w:val="32"/>
        </w:rPr>
        <w:tab/>
      </w:r>
      <w:r>
        <w:rPr>
          <w:rFonts w:hint="eastAsia" w:ascii="仿宋" w:hAnsi="仿宋" w:eastAsia="仿宋"/>
          <w:sz w:val="32"/>
          <w:szCs w:val="32"/>
          <w:lang w:val="en-US" w:eastAsia="zh-CN"/>
        </w:rPr>
        <w:t>289.24万元</w:t>
      </w:r>
      <w:r>
        <w:rPr>
          <w:rFonts w:hint="eastAsia" w:ascii="仿宋" w:hAnsi="仿宋" w:eastAsia="仿宋"/>
          <w:sz w:val="32"/>
          <w:szCs w:val="32"/>
        </w:rPr>
        <w:t>，较上年决算数（减少）</w:t>
      </w:r>
      <w:r>
        <w:rPr>
          <w:rFonts w:hint="eastAsia" w:ascii="仿宋" w:hAnsi="仿宋" w:eastAsia="仿宋"/>
          <w:sz w:val="32"/>
          <w:szCs w:val="32"/>
          <w:lang w:val="en-US" w:eastAsia="zh-CN"/>
        </w:rPr>
        <w:t>100.89</w:t>
      </w:r>
      <w:r>
        <w:rPr>
          <w:rFonts w:hint="eastAsia" w:ascii="仿宋" w:hAnsi="仿宋" w:eastAsia="仿宋"/>
          <w:sz w:val="32"/>
          <w:szCs w:val="32"/>
        </w:rPr>
        <w:t>万元，（下降）</w:t>
      </w:r>
      <w:r>
        <w:rPr>
          <w:rFonts w:hint="eastAsia" w:ascii="仿宋" w:hAnsi="仿宋" w:eastAsia="仿宋"/>
          <w:sz w:val="32"/>
          <w:szCs w:val="32"/>
          <w:lang w:val="en-US" w:eastAsia="zh-CN"/>
        </w:rPr>
        <w:t>25.86</w:t>
      </w:r>
      <w:r>
        <w:rPr>
          <w:rFonts w:ascii="仿宋" w:hAnsi="仿宋" w:eastAsia="仿宋"/>
          <w:sz w:val="32"/>
          <w:szCs w:val="32"/>
        </w:rPr>
        <w:t>%。主要原因是</w:t>
      </w:r>
      <w:r>
        <w:rPr>
          <w:rFonts w:hint="eastAsia" w:ascii="仿宋" w:hAnsi="仿宋" w:eastAsia="仿宋"/>
          <w:sz w:val="32"/>
          <w:szCs w:val="32"/>
          <w:lang w:eastAsia="zh-CN"/>
        </w:rPr>
        <w:t>财政对农业建设项目结构性调整</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四</w:t>
      </w:r>
      <w:r>
        <w:rPr>
          <w:rFonts w:hint="eastAsia" w:ascii="仿宋" w:hAnsi="仿宋" w:eastAsia="仿宋"/>
          <w:sz w:val="32"/>
          <w:szCs w:val="32"/>
        </w:rPr>
        <w:t>）2130109</w:t>
      </w:r>
      <w:r>
        <w:rPr>
          <w:rFonts w:hint="eastAsia" w:ascii="仿宋" w:hAnsi="仿宋" w:eastAsia="仿宋"/>
          <w:sz w:val="32"/>
          <w:szCs w:val="32"/>
        </w:rPr>
        <w:tab/>
      </w:r>
      <w:r>
        <w:rPr>
          <w:rFonts w:hint="eastAsia" w:ascii="仿宋" w:hAnsi="仿宋" w:eastAsia="仿宋"/>
          <w:sz w:val="32"/>
          <w:szCs w:val="32"/>
        </w:rPr>
        <w:t>农产品质量安全</w:t>
      </w:r>
      <w:r>
        <w:rPr>
          <w:rFonts w:hint="eastAsia" w:ascii="仿宋" w:hAnsi="仿宋" w:eastAsia="仿宋"/>
          <w:sz w:val="32"/>
          <w:szCs w:val="32"/>
        </w:rPr>
        <w:tab/>
      </w:r>
      <w:r>
        <w:rPr>
          <w:rFonts w:hint="eastAsia" w:ascii="仿宋" w:hAnsi="仿宋" w:eastAsia="仿宋"/>
          <w:sz w:val="32"/>
          <w:szCs w:val="32"/>
        </w:rPr>
        <w:t>31</w:t>
      </w:r>
      <w:r>
        <w:rPr>
          <w:rFonts w:hint="eastAsia" w:ascii="仿宋" w:hAnsi="仿宋" w:eastAsia="仿宋"/>
          <w:sz w:val="32"/>
          <w:szCs w:val="32"/>
          <w:lang w:val="en-US" w:eastAsia="zh-CN"/>
        </w:rPr>
        <w:t>.19万元</w:t>
      </w:r>
      <w:r>
        <w:rPr>
          <w:rFonts w:hint="eastAsia" w:ascii="仿宋" w:hAnsi="仿宋" w:eastAsia="仿宋"/>
          <w:sz w:val="32"/>
          <w:szCs w:val="32"/>
        </w:rPr>
        <w:t>，较上年决算数（减少）</w:t>
      </w:r>
      <w:r>
        <w:rPr>
          <w:rFonts w:hint="eastAsia" w:ascii="仿宋" w:hAnsi="仿宋" w:eastAsia="仿宋"/>
          <w:sz w:val="32"/>
          <w:szCs w:val="32"/>
          <w:lang w:val="en-US" w:eastAsia="zh-CN"/>
        </w:rPr>
        <w:t>279.23</w:t>
      </w:r>
      <w:r>
        <w:rPr>
          <w:rFonts w:hint="eastAsia" w:ascii="仿宋" w:hAnsi="仿宋" w:eastAsia="仿宋"/>
          <w:sz w:val="32"/>
          <w:szCs w:val="32"/>
        </w:rPr>
        <w:t>万元，（下降）</w:t>
      </w:r>
      <w:r>
        <w:rPr>
          <w:rFonts w:hint="eastAsia" w:ascii="仿宋" w:hAnsi="仿宋" w:eastAsia="仿宋"/>
          <w:sz w:val="32"/>
          <w:szCs w:val="32"/>
          <w:lang w:val="en-US" w:eastAsia="zh-CN"/>
        </w:rPr>
        <w:t>89.95</w:t>
      </w:r>
      <w:r>
        <w:rPr>
          <w:rFonts w:ascii="仿宋" w:hAnsi="仿宋" w:eastAsia="仿宋"/>
          <w:sz w:val="32"/>
          <w:szCs w:val="32"/>
        </w:rPr>
        <w:t>%。主要原因是</w:t>
      </w:r>
      <w:r>
        <w:rPr>
          <w:rFonts w:hint="eastAsia" w:ascii="仿宋" w:hAnsi="仿宋" w:eastAsia="仿宋"/>
          <w:sz w:val="32"/>
          <w:szCs w:val="32"/>
          <w:lang w:eastAsia="zh-CN"/>
        </w:rPr>
        <w:t>财政对农业建设项目结构性调整</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五</w:t>
      </w:r>
      <w:r>
        <w:rPr>
          <w:rFonts w:hint="eastAsia" w:ascii="仿宋" w:hAnsi="仿宋" w:eastAsia="仿宋"/>
          <w:sz w:val="32"/>
          <w:szCs w:val="32"/>
        </w:rPr>
        <w:t>）2130111</w:t>
      </w:r>
      <w:r>
        <w:rPr>
          <w:rFonts w:hint="eastAsia" w:ascii="仿宋" w:hAnsi="仿宋" w:eastAsia="仿宋"/>
          <w:sz w:val="32"/>
          <w:szCs w:val="32"/>
        </w:rPr>
        <w:tab/>
      </w:r>
      <w:r>
        <w:rPr>
          <w:rFonts w:hint="eastAsia" w:ascii="仿宋" w:hAnsi="仿宋" w:eastAsia="仿宋"/>
          <w:sz w:val="32"/>
          <w:szCs w:val="32"/>
        </w:rPr>
        <w:t xml:space="preserve"> 统计监测与信息服务</w:t>
      </w:r>
      <w:r>
        <w:rPr>
          <w:rFonts w:hint="eastAsia" w:ascii="仿宋" w:hAnsi="仿宋" w:eastAsia="仿宋"/>
          <w:sz w:val="32"/>
          <w:szCs w:val="32"/>
        </w:rPr>
        <w:tab/>
      </w:r>
      <w:r>
        <w:rPr>
          <w:rFonts w:hint="eastAsia" w:ascii="仿宋" w:hAnsi="仿宋" w:eastAsia="仿宋"/>
          <w:sz w:val="32"/>
          <w:szCs w:val="32"/>
        </w:rPr>
        <w:t>1</w:t>
      </w:r>
      <w:r>
        <w:rPr>
          <w:rFonts w:hint="eastAsia" w:ascii="仿宋" w:hAnsi="仿宋" w:eastAsia="仿宋"/>
          <w:sz w:val="32"/>
          <w:szCs w:val="32"/>
          <w:lang w:val="en-US" w:eastAsia="zh-CN"/>
        </w:rPr>
        <w:t>.3万元</w:t>
      </w:r>
      <w:r>
        <w:rPr>
          <w:rFonts w:hint="eastAsia" w:ascii="仿宋" w:hAnsi="仿宋" w:eastAsia="仿宋"/>
          <w:sz w:val="32"/>
          <w:szCs w:val="32"/>
        </w:rPr>
        <w:t>，较上年决算数（减少）</w:t>
      </w:r>
      <w:r>
        <w:rPr>
          <w:rFonts w:hint="eastAsia" w:ascii="仿宋" w:hAnsi="仿宋" w:eastAsia="仿宋"/>
          <w:sz w:val="32"/>
          <w:szCs w:val="32"/>
          <w:lang w:val="en-US" w:eastAsia="zh-CN"/>
        </w:rPr>
        <w:t>0.92</w:t>
      </w:r>
      <w:r>
        <w:rPr>
          <w:rFonts w:hint="eastAsia" w:ascii="仿宋" w:hAnsi="仿宋" w:eastAsia="仿宋"/>
          <w:sz w:val="32"/>
          <w:szCs w:val="32"/>
        </w:rPr>
        <w:t>万元，（下降）</w:t>
      </w:r>
      <w:r>
        <w:rPr>
          <w:rFonts w:hint="eastAsia" w:ascii="仿宋" w:hAnsi="仿宋" w:eastAsia="仿宋"/>
          <w:sz w:val="32"/>
          <w:szCs w:val="32"/>
          <w:lang w:val="en-US" w:eastAsia="zh-CN"/>
        </w:rPr>
        <w:t>41.44</w:t>
      </w:r>
      <w:r>
        <w:rPr>
          <w:rFonts w:ascii="仿宋" w:hAnsi="仿宋" w:eastAsia="仿宋"/>
          <w:sz w:val="32"/>
          <w:szCs w:val="32"/>
        </w:rPr>
        <w:t>%。主要原因是</w:t>
      </w:r>
      <w:r>
        <w:rPr>
          <w:rFonts w:hint="eastAsia" w:ascii="仿宋" w:hAnsi="仿宋" w:eastAsia="仿宋"/>
          <w:sz w:val="32"/>
          <w:szCs w:val="32"/>
          <w:lang w:eastAsia="zh-CN"/>
        </w:rPr>
        <w:t>财政对农业建设项目结构性调整</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六</w:t>
      </w:r>
      <w:r>
        <w:rPr>
          <w:rFonts w:hint="eastAsia" w:ascii="仿宋" w:hAnsi="仿宋" w:eastAsia="仿宋"/>
          <w:sz w:val="32"/>
          <w:szCs w:val="32"/>
        </w:rPr>
        <w:t>）2130124</w:t>
      </w:r>
      <w:r>
        <w:rPr>
          <w:rFonts w:hint="eastAsia" w:ascii="仿宋" w:hAnsi="仿宋" w:eastAsia="仿宋"/>
          <w:sz w:val="32"/>
          <w:szCs w:val="32"/>
        </w:rPr>
        <w:tab/>
      </w:r>
      <w:r>
        <w:rPr>
          <w:rFonts w:hint="eastAsia" w:ascii="仿宋" w:hAnsi="仿宋" w:eastAsia="仿宋"/>
          <w:sz w:val="32"/>
          <w:szCs w:val="32"/>
        </w:rPr>
        <w:t>农业组织化与产业化经营</w:t>
      </w:r>
      <w:r>
        <w:rPr>
          <w:rFonts w:hint="eastAsia" w:ascii="仿宋" w:hAnsi="仿宋" w:eastAsia="仿宋"/>
          <w:sz w:val="32"/>
          <w:szCs w:val="32"/>
        </w:rPr>
        <w:tab/>
      </w:r>
      <w:r>
        <w:rPr>
          <w:rFonts w:hint="eastAsia" w:ascii="仿宋" w:hAnsi="仿宋" w:eastAsia="仿宋"/>
          <w:sz w:val="32"/>
          <w:szCs w:val="32"/>
        </w:rPr>
        <w:t>88</w:t>
      </w:r>
      <w:r>
        <w:rPr>
          <w:rFonts w:hint="eastAsia" w:ascii="仿宋" w:hAnsi="仿宋" w:eastAsia="仿宋"/>
          <w:sz w:val="32"/>
          <w:szCs w:val="32"/>
          <w:lang w:val="en-US" w:eastAsia="zh-CN"/>
        </w:rPr>
        <w:t>.4万元</w:t>
      </w:r>
      <w:r>
        <w:rPr>
          <w:rFonts w:hint="eastAsia" w:ascii="仿宋" w:hAnsi="仿宋" w:eastAsia="仿宋"/>
          <w:sz w:val="32"/>
          <w:szCs w:val="32"/>
        </w:rPr>
        <w:t>，较上年决算数（减少）</w:t>
      </w:r>
      <w:r>
        <w:rPr>
          <w:rFonts w:hint="eastAsia" w:ascii="仿宋" w:hAnsi="仿宋" w:eastAsia="仿宋"/>
          <w:sz w:val="32"/>
          <w:szCs w:val="32"/>
          <w:lang w:val="en-US" w:eastAsia="zh-CN"/>
        </w:rPr>
        <w:t>126.6</w:t>
      </w:r>
      <w:r>
        <w:rPr>
          <w:rFonts w:hint="eastAsia" w:ascii="仿宋" w:hAnsi="仿宋" w:eastAsia="仿宋"/>
          <w:sz w:val="32"/>
          <w:szCs w:val="32"/>
        </w:rPr>
        <w:t>万元，（下降）</w:t>
      </w:r>
      <w:r>
        <w:rPr>
          <w:rFonts w:hint="eastAsia" w:ascii="仿宋" w:hAnsi="仿宋" w:eastAsia="仿宋"/>
          <w:sz w:val="32"/>
          <w:szCs w:val="32"/>
          <w:lang w:val="en-US" w:eastAsia="zh-CN"/>
        </w:rPr>
        <w:t>58.88</w:t>
      </w:r>
      <w:r>
        <w:rPr>
          <w:rFonts w:ascii="仿宋" w:hAnsi="仿宋" w:eastAsia="仿宋"/>
          <w:sz w:val="32"/>
          <w:szCs w:val="32"/>
        </w:rPr>
        <w:t>%。主要原因</w:t>
      </w:r>
      <w:r>
        <w:rPr>
          <w:rFonts w:hint="eastAsia" w:ascii="仿宋" w:hAnsi="仿宋" w:eastAsia="仿宋"/>
          <w:sz w:val="32"/>
          <w:szCs w:val="32"/>
          <w:lang w:eastAsia="zh-CN"/>
        </w:rPr>
        <w:t>是财政对农业建设项目结构性调整</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七</w:t>
      </w:r>
      <w:r>
        <w:rPr>
          <w:rFonts w:hint="eastAsia" w:ascii="仿宋" w:hAnsi="仿宋" w:eastAsia="仿宋"/>
          <w:sz w:val="32"/>
          <w:szCs w:val="32"/>
        </w:rPr>
        <w:t>）</w:t>
      </w:r>
      <w:r>
        <w:rPr>
          <w:rFonts w:hint="eastAsia" w:ascii="仿宋" w:hAnsi="仿宋" w:eastAsia="仿宋"/>
          <w:sz w:val="32"/>
          <w:szCs w:val="32"/>
          <w:lang w:val="en-US" w:eastAsia="zh-CN"/>
        </w:rPr>
        <w:t>2130135农业资源保护与利用81.99万元</w:t>
      </w:r>
      <w:r>
        <w:rPr>
          <w:rFonts w:hint="eastAsia" w:ascii="仿宋" w:hAnsi="仿宋" w:eastAsia="仿宋"/>
          <w:sz w:val="32"/>
          <w:szCs w:val="32"/>
        </w:rPr>
        <w:t>，较上年决算数增加</w:t>
      </w:r>
      <w:r>
        <w:rPr>
          <w:rFonts w:hint="eastAsia" w:ascii="仿宋" w:hAnsi="仿宋" w:eastAsia="仿宋"/>
          <w:sz w:val="32"/>
          <w:szCs w:val="32"/>
          <w:lang w:val="en-US" w:eastAsia="zh-CN"/>
        </w:rPr>
        <w:t>64.17</w:t>
      </w:r>
      <w:r>
        <w:rPr>
          <w:rFonts w:hint="eastAsia" w:ascii="仿宋" w:hAnsi="仿宋" w:eastAsia="仿宋"/>
          <w:sz w:val="32"/>
          <w:szCs w:val="32"/>
        </w:rPr>
        <w:t>万元，增长</w:t>
      </w:r>
      <w:r>
        <w:rPr>
          <w:rFonts w:hint="eastAsia" w:ascii="仿宋" w:hAnsi="仿宋" w:eastAsia="仿宋"/>
          <w:sz w:val="32"/>
          <w:szCs w:val="32"/>
          <w:lang w:val="en-US" w:eastAsia="zh-CN"/>
        </w:rPr>
        <w:t>360.16</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八</w:t>
      </w:r>
      <w:r>
        <w:rPr>
          <w:rFonts w:hint="eastAsia" w:ascii="仿宋" w:hAnsi="仿宋" w:eastAsia="仿宋"/>
          <w:sz w:val="32"/>
          <w:szCs w:val="32"/>
        </w:rPr>
        <w:t>）2130199</w:t>
      </w:r>
      <w:r>
        <w:rPr>
          <w:rFonts w:hint="eastAsia" w:ascii="仿宋" w:hAnsi="仿宋" w:eastAsia="仿宋"/>
          <w:sz w:val="32"/>
          <w:szCs w:val="32"/>
        </w:rPr>
        <w:tab/>
      </w:r>
      <w:r>
        <w:rPr>
          <w:rFonts w:hint="eastAsia" w:ascii="仿宋" w:hAnsi="仿宋" w:eastAsia="仿宋"/>
          <w:sz w:val="32"/>
          <w:szCs w:val="32"/>
        </w:rPr>
        <w:t>其他农业支出</w:t>
      </w:r>
      <w:r>
        <w:rPr>
          <w:rFonts w:hint="eastAsia" w:ascii="仿宋" w:hAnsi="仿宋" w:eastAsia="仿宋"/>
          <w:sz w:val="32"/>
          <w:szCs w:val="32"/>
        </w:rPr>
        <w:tab/>
      </w:r>
      <w:r>
        <w:rPr>
          <w:rFonts w:hint="eastAsia" w:ascii="仿宋" w:hAnsi="仿宋" w:eastAsia="仿宋"/>
          <w:sz w:val="32"/>
          <w:szCs w:val="32"/>
        </w:rPr>
        <w:t>26</w:t>
      </w:r>
      <w:r>
        <w:rPr>
          <w:rFonts w:hint="eastAsia" w:ascii="仿宋" w:hAnsi="仿宋" w:eastAsia="仿宋"/>
          <w:sz w:val="32"/>
          <w:szCs w:val="32"/>
          <w:lang w:val="en-US" w:eastAsia="zh-CN"/>
        </w:rPr>
        <w:t>42.86万元</w:t>
      </w:r>
      <w:r>
        <w:rPr>
          <w:rFonts w:hint="eastAsia" w:ascii="仿宋" w:hAnsi="仿宋" w:eastAsia="仿宋"/>
          <w:sz w:val="32"/>
          <w:szCs w:val="32"/>
        </w:rPr>
        <w:t>，较上年决算数增加</w:t>
      </w:r>
      <w:r>
        <w:rPr>
          <w:rFonts w:hint="eastAsia" w:ascii="仿宋" w:hAnsi="仿宋" w:eastAsia="仿宋"/>
          <w:sz w:val="32"/>
          <w:szCs w:val="32"/>
          <w:lang w:val="en-US" w:eastAsia="zh-CN"/>
        </w:rPr>
        <w:t>2447.52</w:t>
      </w:r>
      <w:r>
        <w:rPr>
          <w:rFonts w:hint="eastAsia" w:ascii="仿宋" w:hAnsi="仿宋" w:eastAsia="仿宋"/>
          <w:sz w:val="32"/>
          <w:szCs w:val="32"/>
        </w:rPr>
        <w:t>万元，增长</w:t>
      </w:r>
      <w:r>
        <w:rPr>
          <w:rFonts w:hint="eastAsia" w:ascii="仿宋" w:hAnsi="仿宋" w:eastAsia="仿宋"/>
          <w:sz w:val="32"/>
          <w:szCs w:val="32"/>
          <w:lang w:val="en-US" w:eastAsia="zh-CN"/>
        </w:rPr>
        <w:t>1253.02</w:t>
      </w:r>
      <w:r>
        <w:rPr>
          <w:rFonts w:ascii="仿宋" w:hAnsi="仿宋" w:eastAsia="仿宋"/>
          <w:sz w:val="32"/>
          <w:szCs w:val="32"/>
        </w:rPr>
        <w:t>%。主要原因是</w:t>
      </w:r>
      <w:r>
        <w:rPr>
          <w:rFonts w:hint="eastAsia" w:ascii="仿宋" w:hAnsi="仿宋" w:eastAsia="仿宋"/>
          <w:sz w:val="32"/>
          <w:szCs w:val="32"/>
          <w:lang w:eastAsia="zh-CN"/>
        </w:rPr>
        <w:t>政府加大生猪养殖业治理污染投入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九</w:t>
      </w:r>
      <w:r>
        <w:rPr>
          <w:rFonts w:hint="eastAsia" w:ascii="仿宋" w:hAnsi="仿宋" w:eastAsia="仿宋"/>
          <w:sz w:val="32"/>
          <w:szCs w:val="32"/>
        </w:rPr>
        <w:t>）2130110</w:t>
      </w:r>
      <w:r>
        <w:rPr>
          <w:rFonts w:hint="eastAsia" w:ascii="仿宋" w:hAnsi="仿宋" w:eastAsia="仿宋"/>
          <w:sz w:val="32"/>
          <w:szCs w:val="32"/>
        </w:rPr>
        <w:tab/>
      </w:r>
      <w:r>
        <w:rPr>
          <w:rFonts w:hint="eastAsia" w:ascii="仿宋" w:hAnsi="仿宋" w:eastAsia="仿宋"/>
          <w:sz w:val="32"/>
          <w:szCs w:val="32"/>
        </w:rPr>
        <w:t>执法监管15</w:t>
      </w:r>
      <w:r>
        <w:rPr>
          <w:rFonts w:hint="eastAsia" w:ascii="仿宋" w:hAnsi="仿宋" w:eastAsia="仿宋"/>
          <w:sz w:val="32"/>
          <w:szCs w:val="32"/>
          <w:lang w:val="en-US" w:eastAsia="zh-CN"/>
        </w:rPr>
        <w:t>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15</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w:t>
      </w:r>
      <w:r>
        <w:rPr>
          <w:rFonts w:hint="eastAsia" w:ascii="仿宋" w:hAnsi="仿宋" w:eastAsia="仿宋"/>
          <w:sz w:val="32"/>
          <w:szCs w:val="32"/>
        </w:rPr>
        <w:t>）2130112</w:t>
      </w:r>
      <w:r>
        <w:rPr>
          <w:rFonts w:hint="eastAsia" w:ascii="仿宋" w:hAnsi="仿宋" w:eastAsia="仿宋"/>
          <w:sz w:val="32"/>
          <w:szCs w:val="32"/>
        </w:rPr>
        <w:tab/>
      </w:r>
      <w:r>
        <w:rPr>
          <w:rFonts w:hint="eastAsia" w:ascii="仿宋" w:hAnsi="仿宋" w:eastAsia="仿宋"/>
          <w:sz w:val="32"/>
          <w:szCs w:val="32"/>
        </w:rPr>
        <w:t>农业行业业务管理</w:t>
      </w:r>
      <w:r>
        <w:rPr>
          <w:rFonts w:hint="eastAsia" w:ascii="仿宋" w:hAnsi="仿宋" w:eastAsia="仿宋"/>
          <w:sz w:val="32"/>
          <w:szCs w:val="32"/>
          <w:lang w:val="en-US" w:eastAsia="zh-CN"/>
        </w:rPr>
        <w:t>4.67万元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4.67</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十一</w:t>
      </w:r>
      <w:r>
        <w:rPr>
          <w:rFonts w:hint="eastAsia" w:ascii="仿宋" w:hAnsi="仿宋" w:eastAsia="仿宋"/>
          <w:sz w:val="32"/>
          <w:szCs w:val="32"/>
        </w:rPr>
        <w:t>）2130121农业结构调整补贴91</w:t>
      </w:r>
      <w:r>
        <w:rPr>
          <w:rFonts w:hint="eastAsia" w:ascii="仿宋" w:hAnsi="仿宋" w:eastAsia="仿宋"/>
          <w:sz w:val="32"/>
          <w:szCs w:val="32"/>
          <w:lang w:val="en-US" w:eastAsia="zh-CN"/>
        </w:rPr>
        <w:t>.23万元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91.23</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十二</w:t>
      </w:r>
      <w:r>
        <w:rPr>
          <w:rFonts w:hint="eastAsia" w:ascii="仿宋" w:hAnsi="仿宋" w:eastAsia="仿宋"/>
          <w:sz w:val="32"/>
          <w:szCs w:val="32"/>
        </w:rPr>
        <w:t>）2130122农业生产支持补贴4</w:t>
      </w:r>
      <w:r>
        <w:rPr>
          <w:rFonts w:hint="eastAsia" w:ascii="仿宋" w:hAnsi="仿宋" w:eastAsia="仿宋"/>
          <w:sz w:val="32"/>
          <w:szCs w:val="32"/>
          <w:lang w:val="en-US" w:eastAsia="zh-CN"/>
        </w:rPr>
        <w:t>02.28万元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402.28</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w:t>
      </w:r>
      <w:r>
        <w:rPr>
          <w:rFonts w:hint="eastAsia" w:ascii="仿宋" w:hAnsi="仿宋" w:eastAsia="仿宋"/>
          <w:sz w:val="32"/>
          <w:szCs w:val="32"/>
          <w:lang w:eastAsia="zh-CN"/>
        </w:rPr>
        <w:t>十三</w:t>
      </w:r>
      <w:r>
        <w:rPr>
          <w:rFonts w:hint="eastAsia" w:ascii="仿宋" w:hAnsi="仿宋" w:eastAsia="仿宋"/>
          <w:sz w:val="32"/>
          <w:szCs w:val="32"/>
        </w:rPr>
        <w:t>）2130148成品油价格改革对渔业的补贴</w:t>
      </w:r>
      <w:r>
        <w:rPr>
          <w:rFonts w:hint="eastAsia" w:ascii="仿宋" w:hAnsi="仿宋" w:eastAsia="仿宋"/>
          <w:sz w:val="32"/>
          <w:szCs w:val="32"/>
          <w:lang w:val="en-US" w:eastAsia="zh-CN"/>
        </w:rPr>
        <w:t>7.82</w:t>
      </w:r>
    </w:p>
    <w:p>
      <w:pPr>
        <w:spacing w:line="600" w:lineRule="exact"/>
        <w:rPr>
          <w:rFonts w:ascii="仿宋" w:hAnsi="仿宋" w:eastAsia="仿宋"/>
          <w:sz w:val="32"/>
          <w:szCs w:val="32"/>
        </w:rPr>
      </w:pPr>
      <w:r>
        <w:rPr>
          <w:rFonts w:hint="eastAsia" w:ascii="仿宋" w:hAnsi="仿宋" w:eastAsia="仿宋"/>
          <w:sz w:val="32"/>
          <w:szCs w:val="32"/>
          <w:lang w:val="en-US" w:eastAsia="zh-CN"/>
        </w:rPr>
        <w:t>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7.82</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十四</w:t>
      </w:r>
      <w:r>
        <w:rPr>
          <w:rFonts w:hint="eastAsia" w:ascii="仿宋" w:hAnsi="仿宋" w:eastAsia="仿宋"/>
          <w:sz w:val="32"/>
          <w:szCs w:val="32"/>
        </w:rPr>
        <w:t>）2130505生产发展</w:t>
      </w:r>
      <w:r>
        <w:rPr>
          <w:rFonts w:hint="eastAsia" w:ascii="仿宋" w:hAnsi="仿宋" w:eastAsia="仿宋"/>
          <w:sz w:val="32"/>
          <w:szCs w:val="32"/>
        </w:rPr>
        <w:tab/>
      </w:r>
      <w:r>
        <w:rPr>
          <w:rFonts w:hint="eastAsia" w:ascii="仿宋" w:hAnsi="仿宋" w:eastAsia="仿宋"/>
          <w:sz w:val="32"/>
          <w:szCs w:val="32"/>
          <w:lang w:val="en-US" w:eastAsia="zh-CN"/>
        </w:rPr>
        <w:t>828.35万元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828.35</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十五</w:t>
      </w:r>
      <w:r>
        <w:rPr>
          <w:rFonts w:hint="eastAsia" w:ascii="仿宋" w:hAnsi="仿宋" w:eastAsia="仿宋"/>
          <w:sz w:val="32"/>
          <w:szCs w:val="32"/>
        </w:rPr>
        <w:t>）2130550扶贫事业机构45</w:t>
      </w:r>
      <w:r>
        <w:rPr>
          <w:rFonts w:hint="eastAsia" w:ascii="仿宋" w:hAnsi="仿宋" w:eastAsia="仿宋"/>
          <w:sz w:val="32"/>
          <w:szCs w:val="32"/>
          <w:lang w:val="en-US" w:eastAsia="zh-CN"/>
        </w:rPr>
        <w:t>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45</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十六</w:t>
      </w:r>
      <w:r>
        <w:rPr>
          <w:rFonts w:hint="eastAsia" w:ascii="仿宋" w:hAnsi="仿宋" w:eastAsia="仿宋"/>
          <w:sz w:val="32"/>
          <w:szCs w:val="32"/>
        </w:rPr>
        <w:t>）2130599其他扶贫支出</w:t>
      </w:r>
      <w:r>
        <w:rPr>
          <w:rFonts w:hint="eastAsia" w:ascii="仿宋" w:hAnsi="仿宋" w:eastAsia="仿宋"/>
          <w:sz w:val="32"/>
          <w:szCs w:val="32"/>
          <w:lang w:val="en-US" w:eastAsia="zh-CN"/>
        </w:rPr>
        <w:t>12.88万元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12.88</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十七</w:t>
      </w:r>
      <w:r>
        <w:rPr>
          <w:rFonts w:hint="eastAsia" w:ascii="仿宋" w:hAnsi="仿宋" w:eastAsia="仿宋"/>
          <w:sz w:val="32"/>
          <w:szCs w:val="32"/>
        </w:rPr>
        <w:t>）2200218海岛和海域保护</w:t>
      </w:r>
      <w:r>
        <w:rPr>
          <w:rFonts w:hint="eastAsia" w:ascii="仿宋" w:hAnsi="仿宋" w:eastAsia="仿宋"/>
          <w:sz w:val="32"/>
          <w:szCs w:val="32"/>
        </w:rPr>
        <w:tab/>
      </w:r>
      <w:r>
        <w:rPr>
          <w:rFonts w:hint="eastAsia" w:ascii="仿宋" w:hAnsi="仿宋" w:eastAsia="仿宋"/>
          <w:sz w:val="32"/>
          <w:szCs w:val="32"/>
          <w:lang w:val="en-US" w:eastAsia="zh-CN"/>
        </w:rPr>
        <w:t>5.39万元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5.39</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eastAsia="zh-CN"/>
        </w:rPr>
        <w:t>十八</w:t>
      </w:r>
      <w:r>
        <w:rPr>
          <w:rFonts w:hint="eastAsia" w:ascii="仿宋" w:hAnsi="仿宋" w:eastAsia="仿宋"/>
          <w:sz w:val="32"/>
          <w:szCs w:val="32"/>
        </w:rPr>
        <w:t>） 2200299</w:t>
      </w:r>
      <w:r>
        <w:rPr>
          <w:rFonts w:hint="eastAsia" w:ascii="仿宋" w:hAnsi="仿宋" w:eastAsia="仿宋"/>
          <w:sz w:val="32"/>
          <w:szCs w:val="32"/>
        </w:rPr>
        <w:tab/>
      </w:r>
      <w:r>
        <w:rPr>
          <w:rFonts w:hint="eastAsia" w:ascii="仿宋" w:hAnsi="仿宋" w:eastAsia="仿宋"/>
          <w:sz w:val="32"/>
          <w:szCs w:val="32"/>
        </w:rPr>
        <w:t>其他海洋管理事务支出</w:t>
      </w:r>
      <w:r>
        <w:rPr>
          <w:rFonts w:hint="eastAsia" w:ascii="仿宋" w:hAnsi="仿宋" w:eastAsia="仿宋"/>
          <w:sz w:val="32"/>
          <w:szCs w:val="32"/>
        </w:rPr>
        <w:tab/>
      </w:r>
      <w:r>
        <w:rPr>
          <w:rFonts w:hint="eastAsia" w:ascii="仿宋" w:hAnsi="仿宋" w:eastAsia="仿宋"/>
          <w:sz w:val="32"/>
          <w:szCs w:val="32"/>
        </w:rPr>
        <w:t>4</w:t>
      </w:r>
      <w:r>
        <w:rPr>
          <w:rFonts w:hint="eastAsia" w:ascii="仿宋" w:hAnsi="仿宋" w:eastAsia="仿宋"/>
          <w:sz w:val="32"/>
          <w:szCs w:val="32"/>
          <w:lang w:val="en-US" w:eastAsia="zh-CN"/>
        </w:rPr>
        <w:t>.55万元</w:t>
      </w:r>
      <w:r>
        <w:rPr>
          <w:rFonts w:hint="eastAsia" w:ascii="仿宋" w:hAnsi="仿宋" w:eastAsia="仿宋"/>
          <w:sz w:val="32"/>
          <w:szCs w:val="32"/>
        </w:rPr>
        <w:t>，较上年决算数</w:t>
      </w:r>
      <w:r>
        <w:rPr>
          <w:rFonts w:hint="eastAsia" w:ascii="仿宋" w:hAnsi="仿宋" w:eastAsia="仿宋"/>
          <w:sz w:val="32"/>
          <w:szCs w:val="32"/>
          <w:lang w:val="en-US" w:eastAsia="zh-CN"/>
        </w:rPr>
        <w:t>0万元</w:t>
      </w:r>
      <w:r>
        <w:rPr>
          <w:rFonts w:hint="eastAsia" w:ascii="仿宋" w:hAnsi="仿宋" w:eastAsia="仿宋"/>
          <w:sz w:val="32"/>
          <w:szCs w:val="32"/>
        </w:rPr>
        <w:t>增加</w:t>
      </w:r>
      <w:r>
        <w:rPr>
          <w:rFonts w:hint="eastAsia" w:ascii="仿宋" w:hAnsi="仿宋" w:eastAsia="仿宋"/>
          <w:sz w:val="32"/>
          <w:szCs w:val="32"/>
          <w:lang w:val="en-US" w:eastAsia="zh-CN"/>
        </w:rPr>
        <w:t>4.55</w:t>
      </w:r>
      <w:r>
        <w:rPr>
          <w:rFonts w:hint="eastAsia" w:ascii="仿宋" w:hAnsi="仿宋" w:eastAsia="仿宋"/>
          <w:sz w:val="32"/>
          <w:szCs w:val="32"/>
        </w:rPr>
        <w:t>万元，增长</w:t>
      </w:r>
      <w:r>
        <w:rPr>
          <w:rFonts w:ascii="仿宋" w:hAnsi="仿宋" w:eastAsia="仿宋"/>
          <w:sz w:val="32"/>
          <w:szCs w:val="32"/>
        </w:rPr>
        <w:t>%。主要原因是</w:t>
      </w:r>
      <w:r>
        <w:rPr>
          <w:rFonts w:hint="eastAsia" w:ascii="仿宋" w:hAnsi="仿宋" w:eastAsia="仿宋"/>
          <w:sz w:val="32"/>
          <w:szCs w:val="32"/>
          <w:lang w:eastAsia="zh-CN"/>
        </w:rPr>
        <w:t>财政对农业项目加大投入</w:t>
      </w:r>
      <w:r>
        <w:rPr>
          <w:rFonts w:ascii="仿宋" w:hAnsi="仿宋" w:eastAsia="仿宋"/>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六、政府性基金支出决算情况</w:t>
      </w:r>
    </w:p>
    <w:p>
      <w:pPr>
        <w:tabs>
          <w:tab w:val="left" w:pos="7513"/>
        </w:tabs>
        <w:adjustRightInd w:val="0"/>
        <w:snapToGrid w:val="0"/>
        <w:spacing w:line="600" w:lineRule="exact"/>
        <w:ind w:firstLine="704" w:firstLineChars="220"/>
        <w:rPr>
          <w:rFonts w:hint="eastAsia" w:ascii="仿宋" w:hAnsi="仿宋" w:eastAsia="仿宋" w:cs="仿宋_GB2312"/>
          <w:sz w:val="32"/>
          <w:szCs w:val="32"/>
          <w:lang w:eastAsia="zh-CN"/>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政府性基金支出</w:t>
      </w:r>
      <w:r>
        <w:rPr>
          <w:rFonts w:hint="eastAsia" w:ascii="仿宋" w:hAnsi="仿宋" w:eastAsia="仿宋" w:cs="仿宋_GB2312"/>
          <w:sz w:val="32"/>
          <w:szCs w:val="32"/>
          <w:lang w:val="en-US" w:eastAsia="zh-CN"/>
        </w:rPr>
        <w:t>84.2</w:t>
      </w:r>
      <w:r>
        <w:rPr>
          <w:rFonts w:hint="eastAsia"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w:t>
      </w:r>
      <w:r>
        <w:rPr>
          <w:rFonts w:hint="eastAsia" w:ascii="仿宋" w:hAnsi="仿宋" w:eastAsia="仿宋" w:cs="仿宋_GB2312"/>
          <w:sz w:val="32"/>
          <w:szCs w:val="32"/>
          <w:lang w:val="en-US" w:eastAsia="zh-CN"/>
        </w:rPr>
        <w:t>599.11万元</w:t>
      </w:r>
      <w:r>
        <w:rPr>
          <w:rFonts w:ascii="仿宋" w:hAnsi="仿宋" w:eastAsia="仿宋" w:cs="仿宋_GB2312"/>
          <w:sz w:val="32"/>
          <w:szCs w:val="32"/>
        </w:rPr>
        <w:t>（减少）</w:t>
      </w:r>
      <w:r>
        <w:rPr>
          <w:rFonts w:hint="eastAsia" w:ascii="仿宋" w:hAnsi="仿宋" w:eastAsia="仿宋" w:cs="仿宋_GB2312"/>
          <w:sz w:val="32"/>
          <w:szCs w:val="32"/>
          <w:lang w:val="en-US" w:eastAsia="zh-CN"/>
        </w:rPr>
        <w:t>514.91</w:t>
      </w:r>
      <w:r>
        <w:rPr>
          <w:rFonts w:hint="eastAsia" w:ascii="仿宋" w:hAnsi="仿宋" w:eastAsia="仿宋" w:cs="仿宋_GB2312"/>
          <w:sz w:val="32"/>
          <w:szCs w:val="32"/>
        </w:rPr>
        <w:t>万元，（下降）</w:t>
      </w:r>
      <w:r>
        <w:rPr>
          <w:rFonts w:hint="eastAsia" w:ascii="仿宋" w:hAnsi="仿宋" w:eastAsia="仿宋" w:cs="仿宋_GB2312"/>
          <w:sz w:val="32"/>
          <w:szCs w:val="32"/>
          <w:lang w:val="en-US" w:eastAsia="zh-CN"/>
        </w:rPr>
        <w:t>85.95</w:t>
      </w:r>
      <w:r>
        <w:rPr>
          <w:rFonts w:ascii="仿宋" w:hAnsi="仿宋" w:eastAsia="仿宋" w:cs="仿宋_GB2312"/>
          <w:sz w:val="32"/>
          <w:szCs w:val="32"/>
        </w:rPr>
        <w:t>%，具体情况如下(按项级科目统计)</w:t>
      </w:r>
      <w:r>
        <w:rPr>
          <w:rFonts w:hint="eastAsia" w:ascii="仿宋" w:hAnsi="仿宋" w:eastAsia="仿宋" w:cs="仿宋_GB2312"/>
          <w:sz w:val="32"/>
          <w:szCs w:val="32"/>
          <w:lang w:eastAsia="zh-CN"/>
        </w:rPr>
        <w:t>：</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lang w:eastAsia="zh-CN"/>
        </w:rPr>
        <w:t>（一）2120804</w:t>
      </w:r>
      <w:r>
        <w:rPr>
          <w:rFonts w:hint="eastAsia" w:ascii="仿宋" w:hAnsi="仿宋" w:eastAsia="仿宋" w:cs="仿宋_GB2312"/>
          <w:sz w:val="32"/>
          <w:szCs w:val="32"/>
        </w:rPr>
        <w:t>农村基础设施建设支出</w:t>
      </w:r>
      <w:r>
        <w:rPr>
          <w:rFonts w:hint="eastAsia" w:ascii="仿宋" w:hAnsi="仿宋" w:eastAsia="仿宋" w:cs="仿宋_GB2312"/>
          <w:sz w:val="32"/>
          <w:szCs w:val="32"/>
          <w:lang w:val="en-US" w:eastAsia="zh-CN"/>
        </w:rPr>
        <w:t>84.2</w:t>
      </w:r>
      <w:r>
        <w:rPr>
          <w:rFonts w:hint="eastAsia" w:ascii="仿宋" w:hAnsi="仿宋" w:eastAsia="仿宋" w:cs="仿宋_GB2312"/>
          <w:sz w:val="32"/>
          <w:szCs w:val="32"/>
        </w:rPr>
        <w:t>万元，较</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w:t>
      </w:r>
      <w:r>
        <w:rPr>
          <w:rFonts w:hint="eastAsia" w:ascii="仿宋" w:hAnsi="仿宋" w:eastAsia="仿宋" w:cs="仿宋_GB2312"/>
          <w:sz w:val="32"/>
          <w:szCs w:val="32"/>
          <w:lang w:val="en-US" w:eastAsia="zh-CN"/>
        </w:rPr>
        <w:t>529.84万元</w:t>
      </w:r>
      <w:r>
        <w:rPr>
          <w:rFonts w:hint="eastAsia" w:ascii="仿宋" w:hAnsi="仿宋" w:eastAsia="仿宋" w:cs="仿宋_GB2312"/>
          <w:sz w:val="32"/>
          <w:szCs w:val="32"/>
        </w:rPr>
        <w:t>（减少）</w:t>
      </w:r>
      <w:r>
        <w:rPr>
          <w:rFonts w:hint="eastAsia" w:ascii="仿宋" w:hAnsi="仿宋" w:eastAsia="仿宋" w:cs="仿宋_GB2312"/>
          <w:sz w:val="32"/>
          <w:szCs w:val="32"/>
          <w:lang w:val="en-US" w:eastAsia="zh-CN"/>
        </w:rPr>
        <w:t>445.64</w:t>
      </w:r>
      <w:r>
        <w:rPr>
          <w:rFonts w:hint="eastAsia" w:ascii="仿宋" w:hAnsi="仿宋" w:eastAsia="仿宋" w:cs="仿宋_GB2312"/>
          <w:sz w:val="32"/>
          <w:szCs w:val="32"/>
        </w:rPr>
        <w:t>万元，（下降）</w:t>
      </w:r>
      <w:r>
        <w:rPr>
          <w:rFonts w:hint="eastAsia" w:ascii="仿宋" w:hAnsi="仿宋" w:eastAsia="仿宋" w:cs="仿宋_GB2312"/>
          <w:sz w:val="32"/>
          <w:szCs w:val="32"/>
          <w:lang w:val="en-US" w:eastAsia="zh-CN"/>
        </w:rPr>
        <w:t>84.11</w:t>
      </w:r>
      <w:r>
        <w:rPr>
          <w:rFonts w:ascii="仿宋" w:hAnsi="仿宋" w:eastAsia="仿宋" w:cs="仿宋_GB2312"/>
          <w:sz w:val="32"/>
          <w:szCs w:val="32"/>
        </w:rPr>
        <w:t>%。主要原因是</w:t>
      </w:r>
      <w:r>
        <w:rPr>
          <w:rFonts w:hint="eastAsia" w:ascii="仿宋" w:hAnsi="仿宋" w:eastAsia="仿宋" w:cs="仿宋_GB2312"/>
          <w:sz w:val="32"/>
          <w:szCs w:val="32"/>
          <w:lang w:eastAsia="zh-CN"/>
        </w:rPr>
        <w:t>财政预算减少</w:t>
      </w:r>
      <w:r>
        <w:rPr>
          <w:rFonts w:ascii="仿宋" w:hAnsi="仿宋" w:eastAsia="仿宋" w:cs="仿宋_GB2312"/>
          <w:sz w:val="32"/>
          <w:szCs w:val="32"/>
        </w:rPr>
        <w:t>。</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hint="eastAsia" w:ascii="仿宋" w:hAnsi="仿宋" w:eastAsia="仿宋" w:cs="仿宋_GB2312"/>
          <w:sz w:val="32"/>
          <w:szCs w:val="32"/>
        </w:rPr>
        <w:t>（二）2121201  耕地开发专项支出</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万元，较</w:t>
      </w:r>
      <w:r>
        <w:rPr>
          <w:rFonts w:hint="eastAsia" w:ascii="仿宋" w:hAnsi="仿宋" w:eastAsia="仿宋" w:cs="仿宋_GB2312"/>
          <w:sz w:val="32"/>
          <w:szCs w:val="32"/>
          <w:lang w:val="en-US" w:eastAsia="zh-CN"/>
        </w:rPr>
        <w:t>2016</w:t>
      </w:r>
      <w:r>
        <w:rPr>
          <w:rFonts w:hint="eastAsia" w:ascii="仿宋" w:hAnsi="仿宋" w:eastAsia="仿宋" w:cs="仿宋_GB2312"/>
          <w:sz w:val="32"/>
          <w:szCs w:val="32"/>
        </w:rPr>
        <w:t>年决算数（减少）</w:t>
      </w:r>
      <w:r>
        <w:rPr>
          <w:rFonts w:hint="eastAsia" w:ascii="仿宋" w:hAnsi="仿宋" w:eastAsia="仿宋" w:cs="仿宋_GB2312"/>
          <w:sz w:val="32"/>
          <w:szCs w:val="32"/>
          <w:lang w:val="en-US" w:eastAsia="zh-CN"/>
        </w:rPr>
        <w:t>69.27</w:t>
      </w:r>
      <w:r>
        <w:rPr>
          <w:rFonts w:hint="eastAsia" w:ascii="仿宋" w:hAnsi="仿宋" w:eastAsia="仿宋" w:cs="仿宋_GB2312"/>
          <w:sz w:val="32"/>
          <w:szCs w:val="32"/>
        </w:rPr>
        <w:t>万元</w:t>
      </w:r>
      <w:r>
        <w:rPr>
          <w:rFonts w:ascii="仿宋" w:hAnsi="仿宋" w:eastAsia="仿宋" w:cs="仿宋_GB2312"/>
          <w:sz w:val="32"/>
          <w:szCs w:val="32"/>
        </w:rPr>
        <w:t>。主要原因是</w:t>
      </w:r>
      <w:r>
        <w:rPr>
          <w:rFonts w:hint="eastAsia" w:ascii="仿宋" w:hAnsi="仿宋" w:eastAsia="仿宋" w:cs="仿宋_GB2312"/>
          <w:sz w:val="32"/>
          <w:szCs w:val="32"/>
          <w:lang w:eastAsia="zh-CN"/>
        </w:rPr>
        <w:t>财政预算减少</w:t>
      </w:r>
      <w:r>
        <w:rPr>
          <w:rFonts w:ascii="仿宋" w:hAnsi="仿宋" w:eastAsia="仿宋" w:cs="仿宋_GB2312"/>
          <w:sz w:val="32"/>
          <w:szCs w:val="32"/>
        </w:rPr>
        <w:t>。</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七、财政拨款基本支出决算情况</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2276.37</w:t>
      </w:r>
      <w:r>
        <w:rPr>
          <w:rFonts w:hint="eastAsia" w:ascii="仿宋" w:hAnsi="仿宋" w:eastAsia="仿宋" w:cs="仿宋_GB2312"/>
          <w:sz w:val="32"/>
          <w:szCs w:val="32"/>
        </w:rPr>
        <w:t>万元，其中：</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2152.94</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123.43</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八、</w:t>
      </w:r>
      <w:r>
        <w:rPr>
          <w:rFonts w:hint="eastAsia" w:ascii="黑体" w:hAnsi="黑体" w:eastAsia="黑体"/>
          <w:sz w:val="32"/>
          <w:szCs w:val="32"/>
        </w:rPr>
        <w:t>一般公共预算拨款</w:t>
      </w:r>
      <w:r>
        <w:rPr>
          <w:rFonts w:hint="eastAsia" w:ascii="黑体" w:hAnsi="黑体" w:eastAsia="黑体" w:cs="仿宋_GB2312"/>
          <w:bCs/>
          <w:sz w:val="32"/>
          <w:szCs w:val="32"/>
        </w:rPr>
        <w:t>“三公”经费支出决算情况</w:t>
      </w:r>
    </w:p>
    <w:p>
      <w:pPr>
        <w:tabs>
          <w:tab w:val="left" w:pos="7513"/>
        </w:tabs>
        <w:adjustRightInd w:val="0"/>
        <w:snapToGrid w:val="0"/>
        <w:spacing w:line="600" w:lineRule="exact"/>
        <w:ind w:firstLine="704" w:firstLineChars="220"/>
        <w:rPr>
          <w:rFonts w:hint="eastAsia" w:ascii="仿宋" w:hAnsi="仿宋" w:eastAsia="仿宋" w:cs="仿宋_GB2312"/>
          <w:sz w:val="32"/>
          <w:szCs w:val="32"/>
          <w:lang w:val="en-US" w:eastAsia="zh-CN"/>
        </w:rPr>
      </w:pPr>
      <w:r>
        <w:rPr>
          <w:rFonts w:ascii="仿宋" w:hAnsi="仿宋" w:eastAsia="仿宋" w:cs="仿宋_GB2312"/>
          <w:sz w:val="32"/>
          <w:szCs w:val="32"/>
        </w:rPr>
        <w:t>2017年</w:t>
      </w:r>
      <w:r>
        <w:rPr>
          <w:rFonts w:hint="eastAsia" w:ascii="仿宋" w:hAnsi="仿宋" w:eastAsia="仿宋" w:cs="仿宋_GB2312"/>
          <w:sz w:val="32"/>
          <w:szCs w:val="32"/>
        </w:rPr>
        <w:t>度</w:t>
      </w:r>
      <w:r>
        <w:rPr>
          <w:rFonts w:ascii="仿宋" w:hAnsi="仿宋" w:eastAsia="仿宋" w:cs="仿宋_GB2312"/>
          <w:sz w:val="32"/>
          <w:szCs w:val="32"/>
        </w:rPr>
        <w:t>“三公”经费</w:t>
      </w:r>
      <w:r>
        <w:rPr>
          <w:rFonts w:hint="eastAsia" w:ascii="仿宋" w:hAnsi="仿宋" w:eastAsia="仿宋" w:cs="仿宋_GB2312"/>
          <w:sz w:val="32"/>
          <w:szCs w:val="32"/>
        </w:rPr>
        <w:t>一般公共预算拨款</w:t>
      </w:r>
      <w:r>
        <w:rPr>
          <w:rFonts w:hint="eastAsia" w:ascii="仿宋" w:hAnsi="仿宋" w:eastAsia="仿宋" w:cs="仿宋_GB2312"/>
          <w:sz w:val="32"/>
          <w:szCs w:val="32"/>
          <w:lang w:val="en-US" w:eastAsia="zh-CN"/>
        </w:rPr>
        <w:t>9.92</w:t>
      </w:r>
      <w:r>
        <w:rPr>
          <w:rFonts w:hint="eastAsia" w:ascii="仿宋" w:hAnsi="仿宋" w:eastAsia="仿宋" w:cs="仿宋_GB2312"/>
          <w:sz w:val="32"/>
          <w:szCs w:val="32"/>
        </w:rPr>
        <w:t>万元，同比下</w:t>
      </w:r>
      <w:r>
        <w:rPr>
          <w:rFonts w:hint="eastAsia" w:ascii="仿宋" w:hAnsi="仿宋" w:eastAsia="仿宋" w:cs="仿宋_GB2312"/>
          <w:sz w:val="32"/>
          <w:szCs w:val="32"/>
          <w:lang w:eastAsia="zh-CN"/>
        </w:rPr>
        <w:t>降</w:t>
      </w:r>
      <w:r>
        <w:rPr>
          <w:rFonts w:hint="eastAsia" w:ascii="仿宋" w:hAnsi="仿宋" w:eastAsia="仿宋" w:cs="仿宋_GB2312"/>
          <w:sz w:val="32"/>
          <w:szCs w:val="32"/>
          <w:lang w:val="en-US" w:eastAsia="zh-CN"/>
        </w:rPr>
        <w:t>53.88</w:t>
      </w:r>
      <w:r>
        <w:rPr>
          <w:rFonts w:ascii="仿宋" w:hAnsi="仿宋" w:eastAsia="仿宋" w:cs="仿宋_GB2312"/>
          <w:sz w:val="32"/>
          <w:szCs w:val="32"/>
        </w:rPr>
        <w:t>%。具体情况如下：</w:t>
      </w:r>
      <w:r>
        <w:rPr>
          <w:rFonts w:ascii="仿宋" w:hAnsi="仿宋" w:eastAsia="仿宋" w:cs="仿宋_GB2312"/>
          <w:sz w:val="32"/>
          <w:szCs w:val="32"/>
        </w:rPr>
        <w:br w:type="textWrapping"/>
      </w:r>
      <w:r>
        <w:rPr>
          <w:rFonts w:hint="eastAsia" w:ascii="仿宋" w:hAnsi="仿宋" w:eastAsia="仿宋" w:cs="仿宋_GB2312"/>
          <w:sz w:val="32"/>
          <w:szCs w:val="32"/>
        </w:rPr>
        <w:t>　　（一）因公出国（境）费</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万元，。</w:t>
      </w:r>
      <w:r>
        <w:rPr>
          <w:rFonts w:hint="eastAsia" w:ascii="仿宋" w:hAnsi="仿宋" w:eastAsia="仿宋" w:cs="仿宋_GB2312"/>
          <w:sz w:val="32"/>
          <w:szCs w:val="32"/>
          <w:lang w:val="en-US" w:eastAsia="zh-CN"/>
        </w:rPr>
        <w:t>2017</w:t>
      </w:r>
      <w:r>
        <w:rPr>
          <w:rFonts w:hint="eastAsia" w:ascii="仿宋" w:hAnsi="仿宋" w:eastAsia="仿宋" w:cs="仿宋_GB2312"/>
          <w:sz w:val="32"/>
          <w:szCs w:val="32"/>
        </w:rPr>
        <w:t>年本单位组织出国团组</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个，参加其他单位出国团组</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个；全年因公出国（境）累计</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人次。与2016年相比</w:t>
      </w:r>
      <w:r>
        <w:rPr>
          <w:rFonts w:ascii="仿宋" w:hAnsi="仿宋" w:eastAsia="仿宋" w:cs="仿宋_GB2312"/>
          <w:sz w:val="32"/>
          <w:szCs w:val="32"/>
        </w:rPr>
        <w:t xml:space="preserve">, </w:t>
      </w:r>
      <w:r>
        <w:rPr>
          <w:rFonts w:hint="eastAsia" w:ascii="仿宋" w:hAnsi="仿宋" w:eastAsia="仿宋" w:cs="仿宋_GB2312"/>
          <w:sz w:val="32"/>
          <w:szCs w:val="32"/>
        </w:rPr>
        <w:t>因公出国（境）经费支出下降（增长）</w:t>
      </w:r>
      <w:r>
        <w:rPr>
          <w:rFonts w:hint="eastAsia" w:ascii="仿宋" w:hAnsi="仿宋" w:eastAsia="仿宋" w:cs="仿宋_GB2312"/>
          <w:sz w:val="32"/>
          <w:szCs w:val="32"/>
          <w:lang w:val="en-US" w:eastAsia="zh-CN"/>
        </w:rPr>
        <w:t>0</w:t>
      </w:r>
      <w:r>
        <w:rPr>
          <w:rFonts w:ascii="仿宋" w:hAnsi="仿宋" w:eastAsia="仿宋" w:cs="仿宋_GB2312"/>
          <w:sz w:val="32"/>
          <w:szCs w:val="32"/>
        </w:rPr>
        <w:t>%</w:t>
      </w:r>
      <w:r>
        <w:rPr>
          <w:rFonts w:hint="eastAsia" w:ascii="仿宋" w:hAnsi="仿宋" w:eastAsia="仿宋" w:cs="仿宋_GB2312"/>
          <w:sz w:val="32"/>
          <w:szCs w:val="32"/>
          <w:lang w:eastAsia="zh-CN"/>
        </w:rPr>
        <w:t>；</w:t>
      </w:r>
      <w:r>
        <w:rPr>
          <w:rFonts w:hint="eastAsia" w:ascii="仿宋" w:hAnsi="仿宋" w:eastAsia="仿宋" w:cs="仿宋_GB2312"/>
          <w:sz w:val="32"/>
          <w:szCs w:val="32"/>
          <w:lang w:val="en-US" w:eastAsia="zh-CN"/>
        </w:rPr>
        <w:t xml:space="preserve"> </w:t>
      </w:r>
    </w:p>
    <w:p>
      <w:pPr>
        <w:tabs>
          <w:tab w:val="left" w:pos="7513"/>
        </w:tabs>
        <w:adjustRightInd w:val="0"/>
        <w:snapToGrid w:val="0"/>
        <w:spacing w:line="600" w:lineRule="exact"/>
        <w:ind w:firstLine="704" w:firstLineChars="220"/>
        <w:rPr>
          <w:rFonts w:ascii="仿宋" w:hAnsi="仿宋" w:eastAsia="仿宋" w:cs="仿宋_GB2312"/>
          <w:sz w:val="32"/>
          <w:szCs w:val="32"/>
        </w:rPr>
      </w:pPr>
      <w:r>
        <w:rPr>
          <w:rFonts w:ascii="仿宋" w:hAnsi="仿宋" w:eastAsia="仿宋" w:cs="仿宋_GB2312"/>
          <w:sz w:val="32"/>
          <w:szCs w:val="32"/>
        </w:rPr>
        <w:t>（二）公务用车购置及运行费</w:t>
      </w:r>
      <w:r>
        <w:rPr>
          <w:rFonts w:hint="eastAsia" w:ascii="仿宋" w:hAnsi="仿宋" w:eastAsia="仿宋" w:cs="仿宋_GB2312"/>
          <w:sz w:val="32"/>
          <w:szCs w:val="32"/>
          <w:lang w:val="en-US" w:eastAsia="zh-CN"/>
        </w:rPr>
        <w:t>7.78</w:t>
      </w:r>
      <w:r>
        <w:rPr>
          <w:rFonts w:ascii="仿宋" w:hAnsi="仿宋" w:eastAsia="仿宋" w:cs="仿宋_GB2312"/>
          <w:sz w:val="32"/>
          <w:szCs w:val="32"/>
        </w:rPr>
        <w:t>万元。其中：公务用车购置费</w:t>
      </w:r>
      <w:r>
        <w:rPr>
          <w:rFonts w:hint="eastAsia" w:ascii="仿宋" w:hAnsi="仿宋" w:eastAsia="仿宋" w:cs="仿宋_GB2312"/>
          <w:sz w:val="32"/>
          <w:szCs w:val="32"/>
          <w:lang w:val="en-US" w:eastAsia="zh-CN"/>
        </w:rPr>
        <w:t>0</w:t>
      </w:r>
      <w:r>
        <w:rPr>
          <w:rFonts w:ascii="仿宋" w:hAnsi="仿宋" w:eastAsia="仿宋" w:cs="仿宋_GB2312"/>
          <w:sz w:val="32"/>
          <w:szCs w:val="32"/>
        </w:rPr>
        <w:t>万元，2017年公务用车购置</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辆。公务用车运行费</w:t>
      </w:r>
      <w:r>
        <w:rPr>
          <w:rFonts w:hint="eastAsia" w:ascii="仿宋" w:hAnsi="仿宋" w:eastAsia="仿宋" w:cs="仿宋_GB2312"/>
          <w:sz w:val="32"/>
          <w:szCs w:val="32"/>
          <w:lang w:val="en-US" w:eastAsia="zh-CN"/>
        </w:rPr>
        <w:t>7.78</w:t>
      </w:r>
      <w:r>
        <w:rPr>
          <w:rFonts w:hint="eastAsia" w:ascii="仿宋" w:hAnsi="仿宋" w:eastAsia="仿宋" w:cs="仿宋_GB2312"/>
          <w:sz w:val="32"/>
          <w:szCs w:val="32"/>
        </w:rPr>
        <w:t>万元，主要用于公务用车燃油、维修、保险等方面支出，年末公务用车保有量</w:t>
      </w:r>
      <w:r>
        <w:rPr>
          <w:rFonts w:hint="eastAsia" w:ascii="仿宋" w:hAnsi="仿宋" w:eastAsia="仿宋" w:cs="仿宋_GB2312"/>
          <w:sz w:val="32"/>
          <w:szCs w:val="32"/>
          <w:lang w:val="en-US" w:eastAsia="zh-CN"/>
        </w:rPr>
        <w:t>13</w:t>
      </w:r>
      <w:r>
        <w:rPr>
          <w:rFonts w:hint="eastAsia" w:ascii="仿宋" w:hAnsi="仿宋" w:eastAsia="仿宋" w:cs="仿宋_GB2312"/>
          <w:sz w:val="32"/>
          <w:szCs w:val="32"/>
        </w:rPr>
        <w:t>辆。与2016年相比，公务用车购置费</w:t>
      </w:r>
      <w:r>
        <w:rPr>
          <w:rFonts w:hint="eastAsia" w:ascii="仿宋" w:hAnsi="仿宋" w:eastAsia="仿宋" w:cs="仿宋_GB2312"/>
          <w:sz w:val="32"/>
          <w:szCs w:val="32"/>
          <w:lang w:eastAsia="zh-CN"/>
        </w:rPr>
        <w:t>下降</w:t>
      </w:r>
      <w:r>
        <w:rPr>
          <w:rFonts w:hint="eastAsia" w:ascii="仿宋" w:hAnsi="仿宋" w:eastAsia="仿宋" w:cs="仿宋_GB2312"/>
          <w:sz w:val="32"/>
          <w:szCs w:val="32"/>
          <w:lang w:val="en-US" w:eastAsia="zh-CN"/>
        </w:rPr>
        <w:t>0</w:t>
      </w:r>
      <w:r>
        <w:rPr>
          <w:rFonts w:hint="eastAsia" w:ascii="仿宋" w:hAnsi="仿宋" w:eastAsia="仿宋" w:cs="仿宋_GB2312"/>
          <w:sz w:val="32"/>
          <w:szCs w:val="32"/>
        </w:rPr>
        <w:t>和运行费下降</w:t>
      </w:r>
      <w:r>
        <w:rPr>
          <w:rFonts w:hint="eastAsia" w:ascii="仿宋" w:hAnsi="仿宋" w:eastAsia="仿宋" w:cs="仿宋_GB2312"/>
          <w:sz w:val="32"/>
          <w:szCs w:val="32"/>
          <w:lang w:val="en-US" w:eastAsia="zh-CN"/>
        </w:rPr>
        <w:t>59.48</w:t>
      </w:r>
      <w:r>
        <w:rPr>
          <w:rFonts w:ascii="仿宋" w:hAnsi="仿宋" w:eastAsia="仿宋" w:cs="仿宋_GB2312"/>
          <w:sz w:val="32"/>
          <w:szCs w:val="32"/>
        </w:rPr>
        <w:t>%，主要是:</w:t>
      </w:r>
      <w:r>
        <w:rPr>
          <w:rFonts w:hint="eastAsia" w:ascii="仿宋" w:hAnsi="仿宋" w:eastAsia="仿宋" w:cs="仿宋_GB2312"/>
          <w:sz w:val="32"/>
          <w:szCs w:val="32"/>
          <w:lang w:eastAsia="zh-CN"/>
        </w:rPr>
        <w:t>执行公车改革</w:t>
      </w:r>
      <w:r>
        <w:rPr>
          <w:rFonts w:ascii="仿宋" w:hAnsi="仿宋" w:eastAsia="仿宋" w:cs="仿宋_GB2312"/>
          <w:sz w:val="32"/>
          <w:szCs w:val="32"/>
        </w:rPr>
        <w:t>。</w:t>
      </w:r>
      <w:r>
        <w:rPr>
          <w:rFonts w:ascii="仿宋" w:hAnsi="仿宋" w:eastAsia="仿宋" w:cs="仿宋_GB2312"/>
          <w:sz w:val="32"/>
          <w:szCs w:val="32"/>
        </w:rPr>
        <w:br w:type="textWrapping"/>
      </w:r>
      <w:r>
        <w:rPr>
          <w:rFonts w:hint="eastAsia" w:ascii="仿宋" w:hAnsi="仿宋" w:eastAsia="仿宋" w:cs="仿宋_GB2312"/>
          <w:sz w:val="32"/>
          <w:szCs w:val="32"/>
        </w:rPr>
        <w:t>　　（三）公务接待费</w:t>
      </w:r>
      <w:r>
        <w:rPr>
          <w:rFonts w:hint="eastAsia" w:ascii="仿宋" w:hAnsi="仿宋" w:eastAsia="仿宋" w:cs="仿宋_GB2312"/>
          <w:sz w:val="32"/>
          <w:szCs w:val="32"/>
          <w:lang w:val="en-US" w:eastAsia="zh-CN"/>
        </w:rPr>
        <w:t>2.14</w:t>
      </w:r>
      <w:r>
        <w:rPr>
          <w:rFonts w:hint="eastAsia" w:ascii="仿宋" w:hAnsi="仿宋" w:eastAsia="仿宋" w:cs="仿宋_GB2312"/>
          <w:sz w:val="32"/>
          <w:szCs w:val="32"/>
        </w:rPr>
        <w:t>万元。主要用于</w:t>
      </w:r>
      <w:r>
        <w:rPr>
          <w:rFonts w:hint="eastAsia" w:ascii="仿宋" w:hAnsi="仿宋" w:eastAsia="仿宋" w:cs="仿宋_GB2312"/>
          <w:sz w:val="32"/>
          <w:szCs w:val="32"/>
          <w:lang w:eastAsia="zh-CN"/>
        </w:rPr>
        <w:t>省市农业项目验收和督查</w:t>
      </w:r>
      <w:r>
        <w:rPr>
          <w:rFonts w:hint="eastAsia" w:ascii="仿宋" w:hAnsi="仿宋" w:eastAsia="仿宋" w:cs="仿宋_GB2312"/>
          <w:sz w:val="32"/>
          <w:szCs w:val="32"/>
        </w:rPr>
        <w:t>等方面的接待活动，累计接待</w:t>
      </w:r>
      <w:r>
        <w:rPr>
          <w:rFonts w:hint="eastAsia" w:ascii="仿宋" w:hAnsi="仿宋" w:eastAsia="仿宋" w:cs="仿宋_GB2312"/>
          <w:sz w:val="32"/>
          <w:szCs w:val="32"/>
          <w:lang w:val="en-US" w:eastAsia="zh-CN"/>
        </w:rPr>
        <w:t>28</w:t>
      </w:r>
      <w:r>
        <w:rPr>
          <w:rFonts w:hint="eastAsia" w:ascii="仿宋" w:hAnsi="仿宋" w:eastAsia="仿宋" w:cs="仿宋_GB2312"/>
          <w:sz w:val="32"/>
          <w:szCs w:val="32"/>
        </w:rPr>
        <w:t>批次、接待总人数</w:t>
      </w:r>
      <w:r>
        <w:rPr>
          <w:rFonts w:hint="eastAsia" w:ascii="仿宋" w:hAnsi="仿宋" w:eastAsia="仿宋" w:cs="仿宋_GB2312"/>
          <w:sz w:val="32"/>
          <w:szCs w:val="32"/>
          <w:lang w:val="en-US" w:eastAsia="zh-CN"/>
        </w:rPr>
        <w:t>273</w:t>
      </w:r>
      <w:r>
        <w:rPr>
          <w:rFonts w:hint="eastAsia" w:ascii="仿宋" w:hAnsi="仿宋" w:eastAsia="仿宋" w:cs="仿宋_GB2312"/>
          <w:sz w:val="32"/>
          <w:szCs w:val="32"/>
        </w:rPr>
        <w:t>。与</w:t>
      </w:r>
      <w:r>
        <w:rPr>
          <w:rFonts w:ascii="仿宋" w:hAnsi="仿宋" w:eastAsia="仿宋" w:cs="仿宋_GB2312"/>
          <w:sz w:val="32"/>
          <w:szCs w:val="32"/>
        </w:rPr>
        <w:t xml:space="preserve">2016年相比, </w:t>
      </w:r>
      <w:r>
        <w:rPr>
          <w:rFonts w:hint="eastAsia" w:ascii="仿宋" w:hAnsi="仿宋" w:eastAsia="仿宋" w:cs="仿宋_GB2312"/>
          <w:sz w:val="32"/>
          <w:szCs w:val="32"/>
        </w:rPr>
        <w:t>公务接待费支出下降</w:t>
      </w:r>
      <w:r>
        <w:rPr>
          <w:rFonts w:hint="eastAsia" w:ascii="仿宋" w:hAnsi="仿宋" w:eastAsia="仿宋" w:cs="仿宋_GB2312"/>
          <w:sz w:val="32"/>
          <w:szCs w:val="32"/>
          <w:lang w:val="en-US" w:eastAsia="zh-CN"/>
        </w:rPr>
        <w:t>7.68</w:t>
      </w:r>
      <w:r>
        <w:rPr>
          <w:rFonts w:ascii="仿宋" w:hAnsi="仿宋" w:eastAsia="仿宋" w:cs="仿宋_GB2312"/>
          <w:sz w:val="32"/>
          <w:szCs w:val="32"/>
        </w:rPr>
        <w:t>%，主要是:</w:t>
      </w:r>
      <w:r>
        <w:rPr>
          <w:rFonts w:hint="eastAsia" w:ascii="仿宋" w:hAnsi="仿宋" w:eastAsia="仿宋" w:cs="仿宋_GB2312"/>
          <w:sz w:val="32"/>
          <w:szCs w:val="32"/>
          <w:lang w:eastAsia="zh-CN"/>
        </w:rPr>
        <w:t>严格执行八项规定</w:t>
      </w:r>
      <w:r>
        <w:rPr>
          <w:rFonts w:ascii="仿宋" w:hAnsi="仿宋" w:eastAsia="仿宋" w:cs="仿宋_GB2312"/>
          <w:sz w:val="32"/>
          <w:szCs w:val="32"/>
        </w:rPr>
        <w:t>。</w:t>
      </w:r>
    </w:p>
    <w:p>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九、其他重要事项说明</w:t>
      </w:r>
    </w:p>
    <w:p>
      <w:pPr>
        <w:tabs>
          <w:tab w:val="left" w:pos="7513"/>
        </w:tabs>
        <w:adjustRightInd w:val="0"/>
        <w:snapToGrid w:val="0"/>
        <w:spacing w:line="600" w:lineRule="exact"/>
        <w:ind w:firstLine="643" w:firstLineChars="200"/>
        <w:rPr>
          <w:rFonts w:ascii="黑体" w:hAnsi="黑体" w:eastAsia="黑体" w:cs="仿宋_GB2312"/>
          <w:bCs/>
          <w:sz w:val="32"/>
          <w:szCs w:val="32"/>
        </w:rPr>
      </w:pPr>
      <w:r>
        <w:rPr>
          <w:rFonts w:hint="eastAsia" w:ascii="楷体" w:hAnsi="楷体" w:eastAsia="楷体"/>
          <w:b/>
          <w:sz w:val="32"/>
          <w:szCs w:val="32"/>
        </w:rPr>
        <w:t>（一）机关运行经费</w:t>
      </w:r>
    </w:p>
    <w:p>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sz w:val="32"/>
          <w:szCs w:val="32"/>
        </w:rPr>
        <w:t>机关运行经费支出</w:t>
      </w:r>
      <w:r>
        <w:rPr>
          <w:rFonts w:hint="eastAsia" w:ascii="仿宋" w:hAnsi="仿宋" w:eastAsia="仿宋" w:cs="仿宋_GB2312"/>
          <w:sz w:val="32"/>
          <w:szCs w:val="32"/>
          <w:lang w:val="en-US" w:eastAsia="zh-CN"/>
        </w:rPr>
        <w:t>34.95</w:t>
      </w:r>
      <w:r>
        <w:rPr>
          <w:rFonts w:ascii="仿宋" w:hAnsi="仿宋" w:eastAsia="仿宋" w:cs="仿宋_GB2312"/>
          <w:sz w:val="32"/>
          <w:szCs w:val="32"/>
        </w:rPr>
        <w:t>万元，比</w:t>
      </w:r>
      <w:r>
        <w:rPr>
          <w:rFonts w:hint="eastAsia" w:ascii="仿宋" w:hAnsi="仿宋" w:eastAsia="仿宋"/>
          <w:sz w:val="32"/>
          <w:szCs w:val="32"/>
        </w:rPr>
        <w:t>上年</w:t>
      </w:r>
      <w:r>
        <w:rPr>
          <w:rFonts w:ascii="仿宋" w:hAnsi="仿宋" w:eastAsia="仿宋" w:cs="仿宋_GB2312"/>
          <w:sz w:val="32"/>
          <w:szCs w:val="32"/>
        </w:rPr>
        <w:t>决算数</w:t>
      </w:r>
      <w:r>
        <w:rPr>
          <w:rFonts w:hint="eastAsia" w:ascii="仿宋" w:hAnsi="仿宋" w:eastAsia="仿宋" w:cs="仿宋_GB2312"/>
          <w:sz w:val="32"/>
          <w:szCs w:val="32"/>
          <w:lang w:eastAsia="zh-CN"/>
        </w:rPr>
        <w:t>减少</w:t>
      </w:r>
      <w:r>
        <w:rPr>
          <w:rFonts w:hint="eastAsia" w:ascii="仿宋" w:hAnsi="仿宋" w:eastAsia="仿宋" w:cs="仿宋_GB2312"/>
          <w:sz w:val="32"/>
          <w:szCs w:val="32"/>
          <w:lang w:val="en-US" w:eastAsia="zh-CN"/>
        </w:rPr>
        <w:t>11.11</w:t>
      </w:r>
      <w:r>
        <w:rPr>
          <w:rFonts w:ascii="仿宋" w:hAnsi="仿宋" w:eastAsia="仿宋" w:cs="仿宋_GB2312"/>
          <w:sz w:val="32"/>
          <w:szCs w:val="32"/>
        </w:rPr>
        <w:t>%，主要是:</w:t>
      </w:r>
      <w:r>
        <w:rPr>
          <w:rFonts w:hint="eastAsia" w:ascii="仿宋" w:hAnsi="仿宋" w:eastAsia="仿宋" w:cs="仿宋_GB2312"/>
          <w:sz w:val="32"/>
          <w:szCs w:val="32"/>
          <w:lang w:eastAsia="zh-CN"/>
        </w:rPr>
        <w:t>行政和参公单位的人员公用经费</w:t>
      </w:r>
      <w:r>
        <w:rPr>
          <w:rFonts w:ascii="仿宋" w:hAnsi="仿宋" w:eastAsia="仿宋" w:cs="仿宋_GB2312"/>
          <w:sz w:val="32"/>
          <w:szCs w:val="32"/>
        </w:rPr>
        <w:t>。</w:t>
      </w:r>
    </w:p>
    <w:p>
      <w:pPr>
        <w:autoSpaceDE w:val="0"/>
        <w:autoSpaceDN w:val="0"/>
        <w:adjustRightInd w:val="0"/>
        <w:spacing w:line="600" w:lineRule="exact"/>
        <w:ind w:firstLine="643" w:firstLineChars="200"/>
        <w:jc w:val="left"/>
        <w:rPr>
          <w:rFonts w:ascii="黑体" w:hAnsi="黑体" w:eastAsia="黑体" w:cs="仿宋_GB2312"/>
          <w:kern w:val="0"/>
          <w:sz w:val="32"/>
          <w:szCs w:val="32"/>
        </w:rPr>
      </w:pPr>
      <w:r>
        <w:rPr>
          <w:rFonts w:hint="eastAsia" w:ascii="楷体" w:hAnsi="楷体" w:eastAsia="楷体"/>
          <w:b/>
          <w:sz w:val="32"/>
          <w:szCs w:val="32"/>
        </w:rPr>
        <w:t>（二）政府采购情况</w:t>
      </w: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仿宋" w:hAnsi="仿宋" w:eastAsia="仿宋" w:cs="仿宋_GB2312"/>
          <w:kern w:val="0"/>
          <w:sz w:val="32"/>
          <w:szCs w:val="32"/>
        </w:rPr>
        <w:t>本部门</w:t>
      </w:r>
      <w:r>
        <w:rPr>
          <w:rFonts w:hint="eastAsia" w:ascii="仿宋" w:hAnsi="仿宋" w:eastAsia="仿宋"/>
          <w:sz w:val="32"/>
          <w:szCs w:val="32"/>
        </w:rPr>
        <w:t>2017</w:t>
      </w:r>
      <w:r>
        <w:rPr>
          <w:rFonts w:hint="eastAsia" w:ascii="仿宋" w:hAnsi="仿宋" w:eastAsia="仿宋" w:cs="仿宋_GB2312"/>
          <w:sz w:val="32"/>
          <w:szCs w:val="32"/>
        </w:rPr>
        <w:t>年度</w:t>
      </w:r>
      <w:r>
        <w:rPr>
          <w:rFonts w:ascii="仿宋" w:hAnsi="仿宋" w:eastAsia="仿宋" w:cs="仿宋_GB2312"/>
          <w:kern w:val="0"/>
          <w:sz w:val="32"/>
          <w:szCs w:val="32"/>
        </w:rPr>
        <w:t>政府采购支出总额</w:t>
      </w:r>
      <w:r>
        <w:rPr>
          <w:rFonts w:hint="eastAsia" w:ascii="仿宋" w:hAnsi="仿宋" w:eastAsia="仿宋" w:cs="仿宋_GB2312"/>
          <w:kern w:val="0"/>
          <w:sz w:val="32"/>
          <w:szCs w:val="32"/>
          <w:lang w:val="en-US" w:eastAsia="zh-CN"/>
        </w:rPr>
        <w:t>26.54</w:t>
      </w:r>
      <w:r>
        <w:rPr>
          <w:rFonts w:hint="eastAsia" w:ascii="仿宋" w:hAnsi="仿宋" w:eastAsia="仿宋" w:cs="仿宋_GB2312"/>
          <w:kern w:val="0"/>
          <w:sz w:val="32"/>
          <w:szCs w:val="32"/>
        </w:rPr>
        <w:t>万元，其中：政府采购货物支出</w:t>
      </w:r>
      <w:r>
        <w:rPr>
          <w:rFonts w:hint="eastAsia" w:ascii="仿宋" w:hAnsi="仿宋" w:eastAsia="仿宋" w:cs="仿宋_GB2312"/>
          <w:kern w:val="0"/>
          <w:sz w:val="32"/>
          <w:szCs w:val="32"/>
          <w:lang w:val="en-US" w:eastAsia="zh-CN"/>
        </w:rPr>
        <w:t>26.54</w:t>
      </w:r>
      <w:r>
        <w:rPr>
          <w:rFonts w:hint="eastAsia" w:ascii="仿宋" w:hAnsi="仿宋" w:eastAsia="仿宋" w:cs="仿宋_GB2312"/>
          <w:kern w:val="0"/>
          <w:sz w:val="32"/>
          <w:szCs w:val="32"/>
        </w:rPr>
        <w:t>万元、政府采购工程支出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万元、政府采购服务支出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tabs>
          <w:tab w:val="left" w:pos="7513"/>
        </w:tabs>
        <w:adjustRightInd w:val="0"/>
        <w:snapToGrid w:val="0"/>
        <w:spacing w:line="600" w:lineRule="exact"/>
        <w:ind w:firstLine="707" w:firstLineChars="220"/>
        <w:rPr>
          <w:rFonts w:ascii="黑体" w:hAnsi="黑体" w:eastAsia="黑体" w:cs="Times New Roman"/>
          <w:sz w:val="32"/>
          <w:szCs w:val="32"/>
        </w:rPr>
      </w:pPr>
      <w:r>
        <w:rPr>
          <w:rFonts w:hint="eastAsia" w:ascii="楷体" w:hAnsi="楷体" w:eastAsia="楷体"/>
          <w:b/>
          <w:sz w:val="32"/>
          <w:szCs w:val="32"/>
        </w:rPr>
        <w:t>（三）国有资产占用使用情况</w:t>
      </w:r>
    </w:p>
    <w:p>
      <w:pPr>
        <w:tabs>
          <w:tab w:val="left" w:pos="7513"/>
        </w:tabs>
        <w:adjustRightInd w:val="0"/>
        <w:snapToGrid w:val="0"/>
        <w:spacing w:line="600" w:lineRule="exact"/>
        <w:ind w:firstLine="704" w:firstLineChars="220"/>
        <w:rPr>
          <w:rFonts w:ascii="仿宋" w:hAnsi="仿宋" w:eastAsia="仿宋" w:cs="仿宋_GB2312"/>
          <w:kern w:val="0"/>
          <w:sz w:val="32"/>
          <w:szCs w:val="32"/>
        </w:rPr>
      </w:pPr>
      <w:r>
        <w:rPr>
          <w:rFonts w:hint="eastAsia" w:ascii="仿宋" w:hAnsi="仿宋" w:eastAsia="仿宋" w:cs="仿宋_GB2312"/>
          <w:kern w:val="0"/>
          <w:sz w:val="32"/>
          <w:szCs w:val="32"/>
        </w:rPr>
        <w:t>截至</w:t>
      </w:r>
      <w:r>
        <w:rPr>
          <w:rFonts w:hint="eastAsia" w:ascii="仿宋" w:hAnsi="仿宋" w:eastAsia="仿宋"/>
          <w:sz w:val="32"/>
          <w:szCs w:val="32"/>
        </w:rPr>
        <w:t>2017</w:t>
      </w:r>
      <w:r>
        <w:rPr>
          <w:rFonts w:hint="eastAsia" w:ascii="仿宋" w:hAnsi="仿宋" w:eastAsia="仿宋" w:cs="仿宋_GB2312"/>
          <w:kern w:val="0"/>
          <w:sz w:val="32"/>
          <w:szCs w:val="32"/>
        </w:rPr>
        <w:t>年</w:t>
      </w:r>
      <w:r>
        <w:rPr>
          <w:rFonts w:ascii="仿宋" w:hAnsi="仿宋" w:eastAsia="仿宋" w:cs="仿宋_GB2312"/>
          <w:kern w:val="0"/>
          <w:sz w:val="32"/>
          <w:szCs w:val="32"/>
        </w:rPr>
        <w:t>12月31日，本部门共有车辆</w:t>
      </w:r>
      <w:r>
        <w:rPr>
          <w:rFonts w:hint="eastAsia" w:ascii="仿宋" w:hAnsi="仿宋" w:eastAsia="仿宋" w:cs="仿宋_GB2312"/>
          <w:kern w:val="0"/>
          <w:sz w:val="32"/>
          <w:szCs w:val="32"/>
          <w:lang w:val="en-US" w:eastAsia="zh-CN"/>
        </w:rPr>
        <w:t>13</w:t>
      </w:r>
      <w:r>
        <w:rPr>
          <w:rFonts w:hint="eastAsia" w:ascii="仿宋" w:hAnsi="仿宋" w:eastAsia="仿宋" w:cs="仿宋_GB2312"/>
          <w:kern w:val="0"/>
          <w:sz w:val="32"/>
          <w:szCs w:val="32"/>
        </w:rPr>
        <w:t>辆，其中：部级领导干部用车</w:t>
      </w:r>
      <w:r>
        <w:rPr>
          <w:rFonts w:hint="eastAsia" w:ascii="仿宋" w:hAnsi="仿宋" w:eastAsia="仿宋" w:cs="仿宋_GB2312"/>
          <w:sz w:val="32"/>
          <w:szCs w:val="32"/>
        </w:rPr>
        <w:t>××</w:t>
      </w:r>
      <w:r>
        <w:rPr>
          <w:rFonts w:hint="eastAsia" w:ascii="仿宋" w:hAnsi="仿宋" w:eastAsia="仿宋" w:cs="仿宋_GB2312"/>
          <w:kern w:val="0"/>
          <w:sz w:val="32"/>
          <w:szCs w:val="32"/>
        </w:rPr>
        <w:t>辆、一般公务用车</w:t>
      </w:r>
      <w:r>
        <w:rPr>
          <w:rFonts w:hint="eastAsia" w:ascii="仿宋" w:hAnsi="仿宋" w:eastAsia="仿宋" w:cs="仿宋_GB2312"/>
          <w:kern w:val="0"/>
          <w:sz w:val="32"/>
          <w:szCs w:val="32"/>
          <w:lang w:val="en-US" w:eastAsia="zh-CN"/>
        </w:rPr>
        <w:t>12</w:t>
      </w:r>
      <w:r>
        <w:rPr>
          <w:rFonts w:hint="eastAsia" w:ascii="仿宋" w:hAnsi="仿宋" w:eastAsia="仿宋" w:cs="仿宋_GB2312"/>
          <w:kern w:val="0"/>
          <w:sz w:val="32"/>
          <w:szCs w:val="32"/>
        </w:rPr>
        <w:t>辆、一般执法执勤用车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1</w:t>
      </w:r>
      <w:r>
        <w:rPr>
          <w:rFonts w:hint="eastAsia" w:ascii="仿宋" w:hAnsi="仿宋" w:eastAsia="仿宋" w:cs="仿宋_GB2312"/>
          <w:kern w:val="0"/>
          <w:sz w:val="32"/>
          <w:szCs w:val="32"/>
        </w:rPr>
        <w:t>辆；单价</w:t>
      </w:r>
      <w:r>
        <w:rPr>
          <w:rFonts w:ascii="仿宋" w:hAnsi="仿宋" w:eastAsia="仿宋" w:cs="仿宋_GB2312"/>
          <w:kern w:val="0"/>
          <w:sz w:val="32"/>
          <w:szCs w:val="32"/>
        </w:rPr>
        <w:t>50万元（含）以上通用设备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台（套），单价</w:t>
      </w:r>
      <w:r>
        <w:rPr>
          <w:rFonts w:ascii="仿宋" w:hAnsi="仿宋" w:eastAsia="仿宋" w:cs="仿宋_GB2312"/>
          <w:kern w:val="0"/>
          <w:sz w:val="32"/>
          <w:szCs w:val="32"/>
        </w:rPr>
        <w:t>100万元（含）以上专用设备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pPr>
        <w:tabs>
          <w:tab w:val="left" w:pos="7513"/>
        </w:tabs>
        <w:adjustRightInd w:val="0"/>
        <w:snapToGrid w:val="0"/>
        <w:spacing w:line="600" w:lineRule="exact"/>
        <w:ind w:firstLine="707" w:firstLineChars="220"/>
        <w:rPr>
          <w:rFonts w:ascii="楷体" w:hAnsi="楷体" w:eastAsia="楷体" w:cs="仿宋_GB2312"/>
          <w:b/>
          <w:bCs/>
          <w:sz w:val="32"/>
          <w:szCs w:val="32"/>
        </w:rPr>
      </w:pPr>
      <w:r>
        <w:rPr>
          <w:rFonts w:hint="eastAsia" w:ascii="楷体" w:hAnsi="楷体" w:eastAsia="楷体"/>
          <w:b/>
          <w:sz w:val="32"/>
          <w:szCs w:val="32"/>
        </w:rPr>
        <w:t>（四）</w:t>
      </w:r>
      <w:r>
        <w:rPr>
          <w:rFonts w:hint="eastAsia" w:ascii="楷体" w:hAnsi="楷体" w:eastAsia="楷体" w:cs="仿宋_GB2312"/>
          <w:b/>
          <w:bCs/>
          <w:sz w:val="32"/>
          <w:szCs w:val="32"/>
        </w:rPr>
        <w:t>项目绩效自评报告</w:t>
      </w:r>
    </w:p>
    <w:p>
      <w:pPr>
        <w:spacing w:line="600" w:lineRule="exact"/>
        <w:jc w:val="left"/>
        <w:rPr>
          <w:rFonts w:ascii="仿宋" w:hAnsi="仿宋" w:eastAsia="仿宋" w:cs="仿宋_GB2312"/>
          <w:sz w:val="32"/>
          <w:szCs w:val="32"/>
        </w:rPr>
      </w:pPr>
      <w:r>
        <w:rPr>
          <w:rFonts w:hint="eastAsia" w:ascii="仿宋" w:hAnsi="仿宋" w:eastAsia="仿宋" w:cs="仿宋_GB2312"/>
          <w:sz w:val="32"/>
          <w:szCs w:val="32"/>
          <w:lang w:val="en-US" w:eastAsia="zh-CN"/>
        </w:rPr>
        <w:t xml:space="preserve">    </w:t>
      </w:r>
      <w:r>
        <w:rPr>
          <w:rFonts w:hint="eastAsia" w:ascii="仿宋" w:hAnsi="仿宋" w:eastAsia="仿宋" w:cs="仿宋_GB2312"/>
          <w:sz w:val="32"/>
          <w:szCs w:val="32"/>
        </w:rPr>
        <w:t>按照绩效处</w:t>
      </w:r>
      <w:r>
        <w:rPr>
          <w:rFonts w:ascii="仿宋" w:hAnsi="仿宋" w:eastAsia="仿宋" w:cs="仿宋_GB2312"/>
          <w:sz w:val="32"/>
          <w:szCs w:val="32"/>
        </w:rPr>
        <w:t>要求，公开项目概况、评价过程及绩效分析、存在问题和有关建议。</w:t>
      </w:r>
    </w:p>
    <w:p>
      <w:pPr>
        <w:spacing w:line="600" w:lineRule="exact"/>
        <w:jc w:val="center"/>
        <w:rPr>
          <w:rFonts w:hint="eastAsia" w:ascii="方正小标宋简体" w:hAnsi="宋体" w:eastAsia="方正小标宋简体" w:cs="方正小标宋简体"/>
          <w:sz w:val="44"/>
          <w:szCs w:val="44"/>
          <w:lang w:eastAsia="zh-CN"/>
        </w:rPr>
      </w:pPr>
      <w:r>
        <w:rPr>
          <w:rFonts w:ascii="方正小标宋简体" w:hAnsi="宋体" w:eastAsia="方正小标宋简体" w:cs="方正小标宋简体"/>
          <w:sz w:val="44"/>
          <w:szCs w:val="44"/>
        </w:rPr>
        <w:t>2017</w:t>
      </w:r>
      <w:r>
        <w:rPr>
          <w:rFonts w:hint="eastAsia" w:ascii="方正小标宋简体" w:hAnsi="宋体" w:eastAsia="方正小标宋简体" w:cs="方正小标宋简体"/>
          <w:sz w:val="44"/>
          <w:szCs w:val="44"/>
        </w:rPr>
        <w:t>年度</w:t>
      </w:r>
      <w:r>
        <w:rPr>
          <w:rFonts w:hint="eastAsia" w:ascii="方正小标宋简体" w:hAnsi="宋体" w:eastAsia="方正小标宋简体" w:cs="方正小标宋简体"/>
          <w:sz w:val="44"/>
          <w:szCs w:val="44"/>
          <w:lang w:eastAsia="zh-CN"/>
        </w:rPr>
        <w:t>动物及动物产品检疫防疫</w:t>
      </w:r>
    </w:p>
    <w:p>
      <w:pPr>
        <w:spacing w:line="600" w:lineRule="exact"/>
        <w:jc w:val="center"/>
        <w:rPr>
          <w:rFonts w:ascii="黑体" w:hAnsi="Times New Roman" w:eastAsia="黑体" w:cs="Times New Roman"/>
          <w:b/>
          <w:bCs/>
          <w:sz w:val="32"/>
          <w:szCs w:val="32"/>
        </w:rPr>
      </w:pPr>
      <w:r>
        <w:rPr>
          <w:rFonts w:hint="eastAsia" w:ascii="方正小标宋简体" w:hAnsi="宋体" w:eastAsia="方正小标宋简体" w:cs="方正小标宋简体"/>
          <w:sz w:val="44"/>
          <w:szCs w:val="44"/>
        </w:rPr>
        <w:t>项目资金使用绩效自评报告</w:t>
      </w:r>
    </w:p>
    <w:p>
      <w:pPr>
        <w:spacing w:line="600" w:lineRule="exact"/>
        <w:ind w:firstLine="643" w:firstLineChars="200"/>
        <w:rPr>
          <w:rFonts w:hint="eastAsia" w:ascii="仿宋" w:hAnsi="仿宋" w:eastAsia="仿宋" w:cs="仿宋"/>
          <w:b/>
          <w:bCs/>
          <w:kern w:val="0"/>
          <w:sz w:val="32"/>
          <w:szCs w:val="32"/>
          <w:lang w:val="en-US" w:eastAsia="zh-CN" w:bidi="ar"/>
        </w:rPr>
      </w:pPr>
      <w:r>
        <w:rPr>
          <w:rFonts w:hint="eastAsia" w:ascii="仿宋" w:hAnsi="仿宋" w:eastAsia="仿宋" w:cs="仿宋"/>
          <w:b/>
          <w:bCs/>
          <w:kern w:val="0"/>
          <w:sz w:val="32"/>
          <w:szCs w:val="32"/>
          <w:lang w:val="en-US" w:eastAsia="zh-CN" w:bidi="ar"/>
        </w:rPr>
        <w:t>一、项目概况</w:t>
      </w:r>
    </w:p>
    <w:p>
      <w:pPr>
        <w:spacing w:line="600" w:lineRule="exact"/>
        <w:ind w:firstLine="643" w:firstLineChars="200"/>
        <w:rPr>
          <w:rFonts w:hint="eastAsia" w:ascii="仿宋" w:hAnsi="仿宋" w:eastAsia="仿宋" w:cs="仿宋"/>
          <w:b/>
          <w:bCs/>
          <w:kern w:val="0"/>
          <w:sz w:val="32"/>
          <w:szCs w:val="32"/>
          <w:lang w:val="en-US" w:eastAsia="zh-CN" w:bidi="ar"/>
        </w:rPr>
      </w:pPr>
      <w:r>
        <w:rPr>
          <w:rFonts w:hint="eastAsia" w:ascii="仿宋" w:hAnsi="仿宋" w:eastAsia="仿宋" w:cs="仿宋"/>
          <w:b/>
          <w:bCs/>
          <w:kern w:val="0"/>
          <w:sz w:val="32"/>
          <w:szCs w:val="32"/>
          <w:lang w:val="en-US" w:eastAsia="zh-CN" w:bidi="ar"/>
        </w:rPr>
        <w:t>（一）项目单位基本情况</w:t>
      </w:r>
    </w:p>
    <w:p>
      <w:pPr>
        <w:spacing w:line="600" w:lineRule="exact"/>
        <w:ind w:firstLine="640" w:firstLineChars="200"/>
        <w:rPr>
          <w:rFonts w:hint="default" w:ascii="仿宋" w:hAnsi="仿宋" w:eastAsia="仿宋" w:cs="仿宋"/>
          <w:sz w:val="32"/>
          <w:szCs w:val="32"/>
          <w:lang w:val="en-US" w:eastAsia="zh-CN"/>
        </w:rPr>
      </w:pPr>
      <w:r>
        <w:rPr>
          <w:rFonts w:hint="eastAsia" w:ascii="仿宋" w:hAnsi="仿宋" w:eastAsia="仿宋" w:cs="仿宋"/>
          <w:kern w:val="0"/>
          <w:sz w:val="32"/>
          <w:szCs w:val="32"/>
          <w:lang w:val="en-US" w:eastAsia="zh-CN" w:bidi="ar"/>
        </w:rPr>
        <w:t>龙岩市新罗区农业局单位性质为机关。编制人数为191人，截至2017年12月</w:t>
      </w:r>
      <w:r>
        <w:rPr>
          <w:rFonts w:hint="eastAsia" w:ascii="仿宋" w:hAnsi="仿宋" w:eastAsia="仿宋" w:cs="仿宋"/>
          <w:sz w:val="32"/>
          <w:szCs w:val="32"/>
        </w:rPr>
        <w:t>31日止实有职工人数</w:t>
      </w:r>
      <w:r>
        <w:rPr>
          <w:rFonts w:hint="eastAsia" w:ascii="仿宋" w:hAnsi="仿宋" w:eastAsia="仿宋" w:cs="仿宋"/>
          <w:sz w:val="32"/>
          <w:szCs w:val="32"/>
          <w:lang w:val="en-US" w:eastAsia="zh-CN"/>
        </w:rPr>
        <w:t>176</w:t>
      </w:r>
      <w:r>
        <w:rPr>
          <w:rFonts w:hint="eastAsia" w:ascii="仿宋" w:hAnsi="仿宋" w:eastAsia="仿宋" w:cs="仿宋"/>
          <w:sz w:val="32"/>
          <w:szCs w:val="32"/>
        </w:rPr>
        <w:t>人。局机关内设机构7个，包含</w:t>
      </w:r>
      <w:r>
        <w:rPr>
          <w:rFonts w:hint="eastAsia" w:ascii="仿宋" w:hAnsi="仿宋" w:eastAsia="仿宋" w:cs="仿宋"/>
          <w:sz w:val="32"/>
          <w:szCs w:val="32"/>
          <w:lang w:eastAsia="zh-CN"/>
        </w:rPr>
        <w:t>综合股、财务室、政策法规股、农村经济体制与经营管理股、扶贫开发股、产业推进股、科教外经股</w:t>
      </w:r>
      <w:r>
        <w:rPr>
          <w:rFonts w:hint="eastAsia" w:ascii="仿宋" w:hAnsi="仿宋" w:eastAsia="仿宋" w:cs="仿宋"/>
          <w:sz w:val="32"/>
          <w:szCs w:val="32"/>
        </w:rPr>
        <w:t>；2017年农业局包括4个机关股室及</w:t>
      </w:r>
      <w:r>
        <w:rPr>
          <w:rFonts w:hint="eastAsia" w:ascii="仿宋" w:hAnsi="仿宋" w:eastAsia="仿宋" w:cs="仿宋"/>
          <w:sz w:val="32"/>
          <w:szCs w:val="32"/>
          <w:lang w:val="en-US" w:eastAsia="zh-CN"/>
        </w:rPr>
        <w:t>21</w:t>
      </w:r>
      <w:r>
        <w:rPr>
          <w:rFonts w:hint="eastAsia" w:ascii="仿宋" w:hAnsi="仿宋" w:eastAsia="仿宋" w:cs="仿宋"/>
          <w:sz w:val="32"/>
          <w:szCs w:val="32"/>
        </w:rPr>
        <w:t>个下属单位</w:t>
      </w:r>
      <w:r>
        <w:rPr>
          <w:rFonts w:hint="eastAsia" w:ascii="仿宋" w:hAnsi="仿宋" w:eastAsia="仿宋" w:cs="仿宋"/>
          <w:sz w:val="32"/>
          <w:szCs w:val="32"/>
          <w:lang w:val="en-US" w:eastAsia="zh-CN"/>
        </w:rPr>
        <w:t>:农业局、农科教办、执法大队、渔政大队、农技站、经管站、经作站、外资办、植保站、土肥站、农广校、良种场、蔬菜站、种子站、动物卫生监督所、疫控中心、畜牧站、水技站、山麻鸭场、畜禽屠宰管理站、农产品质量安全检验检测中心</w:t>
      </w:r>
      <w:r>
        <w:rPr>
          <w:rFonts w:hint="eastAsia" w:ascii="仿宋" w:hAnsi="仿宋" w:eastAsia="仿宋" w:cs="仿宋"/>
          <w:sz w:val="32"/>
          <w:szCs w:val="32"/>
        </w:rPr>
        <w:t>。</w:t>
      </w:r>
      <w:r>
        <w:rPr>
          <w:rFonts w:hint="eastAsia" w:ascii="仿宋" w:hAnsi="仿宋" w:eastAsia="仿宋" w:cs="仿宋"/>
          <w:sz w:val="32"/>
          <w:szCs w:val="32"/>
          <w:lang w:val="en-US" w:eastAsia="zh-CN"/>
        </w:rPr>
        <w:t>龙岩市新罗区农业机械管理总站（含3个下属）</w:t>
      </w:r>
    </w:p>
    <w:p>
      <w:pPr>
        <w:spacing w:line="60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 xml:space="preserve"> 其主要工作职能：研究</w:t>
      </w:r>
      <w:r>
        <w:rPr>
          <w:rFonts w:hint="eastAsia" w:ascii="仿宋" w:hAnsi="仿宋" w:eastAsia="仿宋" w:cs="仿宋"/>
          <w:sz w:val="32"/>
          <w:szCs w:val="32"/>
        </w:rPr>
        <w:t>拟定农业生产中长期规划，执行国家和地方的农业产业政策；引导农业产业的合理调整，农业资源的合理配置和产品品质的改善；拟定农业科研、教育、技术推广及其队伍建设的发展规划和有关政策；实施科教兴农战略，组织技术推广项目的遴选和实施，组织实施农业产业技术标准、产业产品及绿色食品的质量监督；组织协调种子、农药、有关肥料等产品的登记；组织、监督对全县范围内的植物的防疫、检疫工作、发布疫情及组织扑灭；负责拟定审核县本级农业重点项目计划规划及重点项目申报审核工作。承担区扶贫开发领导小组办公室的日常工作；研究拟订并组织实施扶贫开发规划、政策；组织落实专项扶贫开发项目的实施；协助做好财政专项扶贫资金的监管；协调开展行业和社会扶贫工作；积极实施和推进帮扶工作；负责有关扶贫的对外交流与合作</w:t>
      </w:r>
      <w:r>
        <w:rPr>
          <w:rFonts w:hint="eastAsia" w:ascii="仿宋" w:hAnsi="仿宋" w:eastAsia="仿宋" w:cs="仿宋"/>
          <w:sz w:val="32"/>
          <w:szCs w:val="32"/>
          <w:lang w:eastAsia="zh-CN"/>
        </w:rPr>
        <w:t>。</w:t>
      </w:r>
      <w:r>
        <w:rPr>
          <w:rFonts w:hint="eastAsia" w:ascii="仿宋" w:hAnsi="仿宋" w:eastAsia="仿宋" w:cs="仿宋"/>
          <w:sz w:val="32"/>
          <w:szCs w:val="32"/>
        </w:rPr>
        <w:t>承办上级单位交办的其他事项。</w:t>
      </w:r>
    </w:p>
    <w:p>
      <w:pPr>
        <w:numPr>
          <w:ilvl w:val="0"/>
          <w:numId w:val="1"/>
        </w:numPr>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项目基本情况</w:t>
      </w:r>
    </w:p>
    <w:p>
      <w:pPr>
        <w:numPr>
          <w:ilvl w:val="0"/>
          <w:numId w:val="0"/>
        </w:numPr>
        <w:spacing w:line="60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kern w:val="0"/>
          <w:sz w:val="32"/>
          <w:szCs w:val="32"/>
          <w:lang w:val="en-US" w:eastAsia="zh-CN" w:bidi="ar"/>
        </w:rPr>
        <w:t>根据《动物防疫法》和《动物检疫管理办法》，制定中长期动物疫病防治规划、年度免疫方案和监测方案、检疫方案。项目严格按照《动物防疫法》和《动物检疫管理办法》等相关法律和龙农（2016）107号等文件精神实施。 确保我区动物及动物产品质量安全，确保我区畜牧业健康发展和公共卫生安全。到2020年，生猪、家禽、牛、羊发病率分别下降到5%、6%、4%、3%以下，动物发病率、死亡率和公共卫生风险显著降低。其中2016年对高致病性禽流感、高致病性猪蓝耳病、口蹄疫、猪瘟等4种动物疫病强制免疫的总体达标，群体免疫密度常年维持在90%以上，其中应免畜禽免疫密度要达到100%，免疫抗体合格率全年保持在75%以上。依法对全区动物和动物产品实施检疫，负责动物防疫、动物产品饲料和饲料添加剂、兽药的监督及行政执法。畜禽申报检疫达100%。</w:t>
      </w:r>
    </w:p>
    <w:p>
      <w:pPr>
        <w:numPr>
          <w:ilvl w:val="0"/>
          <w:numId w:val="0"/>
        </w:numPr>
        <w:spacing w:line="600" w:lineRule="exact"/>
        <w:ind w:firstLine="964" w:firstLineChars="300"/>
        <w:rPr>
          <w:rFonts w:ascii="仿宋" w:hAnsi="仿宋" w:eastAsia="仿宋" w:cs="Times New Roman"/>
          <w:b/>
          <w:bCs/>
          <w:sz w:val="32"/>
          <w:szCs w:val="32"/>
        </w:rPr>
      </w:pPr>
      <w:r>
        <w:rPr>
          <w:rFonts w:hint="eastAsia" w:ascii="仿宋" w:hAnsi="仿宋" w:eastAsia="仿宋" w:cs="仿宋"/>
          <w:b/>
          <w:bCs/>
          <w:sz w:val="32"/>
          <w:szCs w:val="32"/>
        </w:rPr>
        <w:t>二、专项支出项目实施基本情况</w:t>
      </w:r>
    </w:p>
    <w:p>
      <w:pPr>
        <w:spacing w:line="600"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（一）项目组织管理情况</w:t>
      </w:r>
    </w:p>
    <w:p>
      <w:pPr>
        <w:numPr>
          <w:ilvl w:val="0"/>
          <w:numId w:val="0"/>
        </w:numPr>
        <w:ind w:firstLine="640" w:firstLineChars="20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1、乡镇退休集体退休费810元/人/月，共10人；</w:t>
      </w:r>
    </w:p>
    <w:p>
      <w:pPr>
        <w:numPr>
          <w:ilvl w:val="0"/>
          <w:numId w:val="0"/>
        </w:numPr>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2、动物疫病强制免疫疫苗配套费95万元，细化用于高致病性禽流感、猪O型口蹄疫、牛羊O-I型口蹄疫、羊小反刍兽疫的区级动疫苗配套和疫苗冷藏运输费(龙农【2017】136 号)；</w:t>
      </w:r>
    </w:p>
    <w:p>
      <w:pPr>
        <w:numPr>
          <w:ilvl w:val="0"/>
          <w:numId w:val="0"/>
        </w:numPr>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3、动物防疫经费45万元，细化用于免疫注射费和培训费、动物疫病监测、流调、应急物质储备、应急储备金；</w:t>
      </w:r>
    </w:p>
    <w:p>
      <w:pPr>
        <w:numPr>
          <w:ilvl w:val="0"/>
          <w:numId w:val="0"/>
        </w:numPr>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4、依法对动物、动物产品实施检疫，保障产品质量安全；</w:t>
      </w:r>
    </w:p>
    <w:p>
      <w:pPr>
        <w:numPr>
          <w:ilvl w:val="0"/>
          <w:numId w:val="0"/>
        </w:numPr>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5、做好船舶年检、渔业安全生产工作，全面深入排查、治理渔业安全隐患。确保渔业生产安全。有效改善水库水质；</w:t>
      </w:r>
    </w:p>
    <w:p>
      <w:pPr>
        <w:numPr>
          <w:ilvl w:val="0"/>
          <w:numId w:val="0"/>
        </w:numPr>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6、牲畜定点屠宰场监测经费用于牲畜定点屠宰场进场牲畜“瘦肉精”、“莱克多巴胺”等监测；</w:t>
      </w:r>
    </w:p>
    <w:p>
      <w:pPr>
        <w:numPr>
          <w:ilvl w:val="0"/>
          <w:numId w:val="0"/>
        </w:numPr>
        <w:ind w:firstLine="64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7、打击私屠滥宰工作经费细化用于租赁执法车辆、购买执法装备、办公设备等；</w:t>
      </w:r>
    </w:p>
    <w:p>
      <w:pPr>
        <w:numPr>
          <w:ilvl w:val="0"/>
          <w:numId w:val="0"/>
        </w:numPr>
        <w:ind w:firstLine="64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8、开展污染治理工作用于养殖业污染治理经费、生猪养殖户转产转岗技术培训经费；</w:t>
      </w:r>
    </w:p>
    <w:p>
      <w:pPr>
        <w:numPr>
          <w:ilvl w:val="0"/>
          <w:numId w:val="0"/>
        </w:numPr>
        <w:ind w:firstLine="640"/>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9、开展畜禽良种补贴及种畜场监测监管。</w:t>
      </w:r>
    </w:p>
    <w:p>
      <w:pPr>
        <w:spacing w:line="600" w:lineRule="exact"/>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rPr>
        <w:t>（二）项目资金使用状况</w:t>
      </w:r>
    </w:p>
    <w:tbl>
      <w:tblPr>
        <w:tblStyle w:val="6"/>
        <w:tblW w:w="79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25"/>
        <w:gridCol w:w="4950"/>
        <w:gridCol w:w="21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8"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乡镇集体退休人员退休费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检疫临时人员经费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8"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动物定点屠宰监测监管经费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8"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动物疫病强制免疫疫苗配套费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动物防疫经费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渔业水质监测经费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cs="宋体"/>
                <w:i w:val="0"/>
                <w:color w:val="000000"/>
                <w:kern w:val="0"/>
                <w:sz w:val="24"/>
                <w:szCs w:val="24"/>
                <w:u w:val="none"/>
                <w:lang w:val="en-US" w:eastAsia="zh-CN" w:bidi="ar"/>
              </w:rPr>
              <w:t>15</w:t>
            </w:r>
            <w:r>
              <w:rPr>
                <w:rFonts w:hint="eastAsia" w:ascii="宋体" w:hAnsi="宋体" w:eastAsia="宋体" w:cs="宋体"/>
                <w:i w:val="0"/>
                <w:color w:val="000000"/>
                <w:kern w:val="0"/>
                <w:sz w:val="24"/>
                <w:szCs w:val="24"/>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养殖业污染治理经费、生猪养殖户转产转岗技术培训经费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网箱养鱼整治、船舶年检、安全生产监管经费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9</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开展畜禽良种补贴、种畜场监测监管经费</w:t>
            </w: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10万元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80" w:hRule="atLeast"/>
        </w:trPr>
        <w:tc>
          <w:tcPr>
            <w:tcW w:w="82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合计</w:t>
            </w:r>
          </w:p>
        </w:tc>
        <w:tc>
          <w:tcPr>
            <w:tcW w:w="495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p>
        </w:tc>
        <w:tc>
          <w:tcPr>
            <w:tcW w:w="217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370万元</w:t>
            </w:r>
          </w:p>
        </w:tc>
      </w:tr>
    </w:tbl>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三、专项支出项目绩效分析</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（一）投入（分值30分，评价得分28分）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1、时效情况（分值6分，得分6分）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项目实施事件与计划时间的差异情况：无差异。得6分。</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2、项目立项（分值12分，得分10分）</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、绩效目标合理性，项目年度计划数与实际不相符，得1 分；</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、绩效指标明确性，将项目绩效目标细化分解具体的绩效指标；</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、绩效指标完成率，目标实际完成数与期初目标编制数相符；</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、项目立项规范性，项目按照规定的程序申请立项；所提交的文件、材料符合相关要求；③事前已经过必要的可行性研究、专家论证、风险评估、集体决策等；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3、资金落实（分值12分，得分12分）</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、成本控制率，成本控制率A=截至年末累计支出数/项目概算或当年预算数；</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、资金使用率，资金使用率=（实际使用资金/实际到位资金）×100%；</w:t>
      </w:r>
    </w:p>
    <w:p>
      <w:pPr>
        <w:keepNext w:val="0"/>
        <w:keepLines w:val="0"/>
        <w:pageBreakBefore w:val="0"/>
        <w:widowControl w:val="0"/>
        <w:numPr>
          <w:ilvl w:val="0"/>
          <w:numId w:val="3"/>
        </w:numPr>
        <w:kinsoku/>
        <w:wordWrap/>
        <w:overflowPunct/>
        <w:topLinePunct w:val="0"/>
        <w:autoSpaceDE/>
        <w:autoSpaceDN/>
        <w:bidi w:val="0"/>
        <w:adjustRightInd/>
        <w:snapToGrid/>
        <w:spacing w:line="60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、资金到位率，资金到位率=（实际到位资金/计划投入资金）×100%；</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right="0" w:rightChars="0" w:firstLine="640" w:firstLineChars="200"/>
        <w:textAlignment w:val="auto"/>
        <w:outlineLvl w:val="9"/>
        <w:rPr>
          <w:rFonts w:hint="eastAsia" w:ascii="仿宋" w:hAnsi="仿宋" w:eastAsia="仿宋"/>
          <w:sz w:val="32"/>
          <w:szCs w:val="32"/>
          <w:lang w:val="en-US" w:eastAsia="zh-CN"/>
        </w:rPr>
      </w:pPr>
      <w:r>
        <w:rPr>
          <w:rFonts w:hint="eastAsia" w:ascii="仿宋" w:hAnsi="仿宋" w:eastAsia="仿宋"/>
          <w:sz w:val="32"/>
          <w:szCs w:val="32"/>
          <w:lang w:val="en-US" w:eastAsia="zh-CN"/>
        </w:rPr>
        <w:t>过程（分值30分，评价得分28分）</w:t>
      </w:r>
    </w:p>
    <w:p>
      <w:pPr>
        <w:pStyle w:val="5"/>
        <w:keepNext w:val="0"/>
        <w:keepLines w:val="0"/>
        <w:pageBreakBefore w:val="0"/>
        <w:widowControl w:val="0"/>
        <w:numPr>
          <w:ilvl w:val="0"/>
          <w:numId w:val="5"/>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业务管理（分值15分，评价得分15分）</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1、管理制度健全性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本局有制定相应的业务管理制度，如内部财务分级审批制度、内部审计工作制度等；业务管理制度合法、合规、完整。得分5分。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2、制度执行有效性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本局遵守相关法律法规和业务管理规定；项目合同书、验收报告、技术鉴定等资料齐全并及时归档；项目实施的人员条件、场地设备、信息支撑等有落实到位。得分5分。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3、项目质量可控性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本局内部管理制定了相应的项目质量要求；采取了必需的控制措施，如内部审计工作制度。得分5分。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（2）资金使用管理（分值15分，评价得分15分）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1、财务管理制度健全性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本局有专门的项目资金管理办法；项目资金管理办法符合相关财务会计制度的规定。得分5分。</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2、资金使用合规性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本局资金使用符合国家财经法规和财务管理制度以及有关专项资金管理办法的规定；资金的拨付有完整的审批程序和手续；该专项支出项目无重大开支。得分5分。</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3、项目资金安全性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资金符合项目预算批复的用途；不存在截留、挤占、挪用等情况。得分5分。</w:t>
      </w:r>
    </w:p>
    <w:p>
      <w:pPr>
        <w:pStyle w:val="5"/>
        <w:keepNext w:val="0"/>
        <w:keepLines w:val="0"/>
        <w:pageBreakBefore w:val="0"/>
        <w:widowControl w:val="0"/>
        <w:numPr>
          <w:ilvl w:val="0"/>
          <w:numId w:val="6"/>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产出与效益（分值40分，得分38分）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（1）产出数量（分值10分，评价得分10分）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ab/>
      </w:r>
      <w:r>
        <w:rPr>
          <w:rFonts w:hint="eastAsia" w:ascii="仿宋" w:hAnsi="仿宋" w:eastAsia="仿宋"/>
          <w:kern w:val="2"/>
          <w:sz w:val="32"/>
          <w:szCs w:val="32"/>
          <w:lang w:val="en-US" w:eastAsia="zh-CN" w:bidi="ar-SA"/>
        </w:rPr>
        <w:t>乡镇集体检疫退休人员退休费及时发放，检疫临时人员经费及时发放，产地检疫数及屠宰检疫数达标，检疫合格及时发放检疫合格标识。得分10分。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（2）产出质量（分值6分，评价得分6分）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严格执行行政事业单位财务制度，会计核算真实、完整、及时，支出审批程序严谨，资金使用合规。得分6分。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（3）社会效益（分值6分，评价得分5分）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该专项资金用于加强动物疫病防疫，但无法全面覆盖，得分5分。</w:t>
      </w:r>
    </w:p>
    <w:p>
      <w:pPr>
        <w:pStyle w:val="5"/>
        <w:keepNext w:val="0"/>
        <w:keepLines w:val="0"/>
        <w:pageBreakBefore w:val="0"/>
        <w:widowControl w:val="0"/>
        <w:numPr>
          <w:ilvl w:val="0"/>
          <w:numId w:val="7"/>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环境效益（分值6分，评价得分5分）</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15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 xml:space="preserve"> 该专项资金用于打击私屠乱宰窝点，由于私屠乱宰窝点分布较广泛、密集，无法一次性完成剿毁，得分5分。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（5）可持续影响目标（分值6分，评价得分6分）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有效促进科技进步、社会公平和谐，得分6分。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（6）服务对象满意度</w:t>
      </w:r>
      <w:r>
        <w:rPr>
          <w:rFonts w:hint="eastAsia" w:ascii="仿宋" w:hAnsi="仿宋" w:eastAsia="仿宋"/>
          <w:kern w:val="2"/>
          <w:sz w:val="32"/>
          <w:szCs w:val="32"/>
          <w:lang w:val="en-US" w:eastAsia="zh-CN" w:bidi="ar-SA"/>
        </w:rPr>
        <w:tab/>
      </w:r>
      <w:r>
        <w:rPr>
          <w:rFonts w:hint="eastAsia" w:ascii="仿宋" w:hAnsi="仿宋" w:eastAsia="仿宋"/>
          <w:kern w:val="2"/>
          <w:sz w:val="32"/>
          <w:szCs w:val="32"/>
          <w:lang w:val="en-US" w:eastAsia="zh-CN" w:bidi="ar-SA"/>
        </w:rPr>
        <w:t>（分值6分，评价得分6分）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畜禽养殖户满意度达95%以上，得分6分。</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四、工作成效</w:t>
      </w:r>
    </w:p>
    <w:p>
      <w:pPr>
        <w:ind w:firstLine="480" w:firstLineChars="150"/>
        <w:rPr>
          <w:rFonts w:hint="eastAsia" w:ascii="仿宋_GB2312" w:hAnsi="仿宋_GB2312" w:eastAsia="仿宋_GB2312"/>
          <w:sz w:val="32"/>
          <w:szCs w:val="32"/>
        </w:rPr>
      </w:pPr>
      <w:r>
        <w:rPr>
          <w:rFonts w:hint="eastAsia" w:ascii="仿宋_GB2312" w:hAnsi="仿宋_GB2312" w:eastAsia="仿宋_GB2312"/>
          <w:sz w:val="32"/>
          <w:szCs w:val="32"/>
        </w:rPr>
        <w:t>（1）、强化定点屠宰企业监管：认真布置定点屠宰企业监督检查工作方案，每月2次以上深入屠宰企业进行监督检查，督促屠宰企业落实整改，及时约谈屠宰企业相关责任人，跟踪企业落实整改25项，充实肉品检验人员，责令屠宰企业改善屠宰工艺，提升管理服务水平。</w:t>
      </w:r>
    </w:p>
    <w:p>
      <w:pPr>
        <w:ind w:firstLine="480" w:firstLineChars="150"/>
        <w:rPr>
          <w:rFonts w:hint="eastAsia" w:ascii="仿宋_GB2312" w:hAnsi="仿宋_GB2312" w:eastAsia="仿宋_GB2312"/>
          <w:sz w:val="32"/>
          <w:szCs w:val="32"/>
        </w:rPr>
      </w:pP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2017年共产地检疫生猪77.1673万头、肉鸡2108.4003万羽，出具1.6163万份检疫合格证明；共屠宰检疫生猪39.112万头、肉鸡4068.6703万羽，出具10.9137万份检疫合格证明，使用大标识477万枚，小标识1950万枚，检出病害猪211头，病死鸡78514羽。动物检疫工作的开展，极大地保障市民吃“放心肉”。</w:t>
      </w:r>
    </w:p>
    <w:p>
      <w:pPr>
        <w:ind w:firstLine="480" w:firstLineChars="15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（3）、2017年立案查处19起动物卫生案件，处罚4.53818万元。动物卫生监督执法工作的开展，极大地提升了动物及动物产品经营者的守法意识。</w:t>
      </w:r>
    </w:p>
    <w:p>
      <w:pPr>
        <w:ind w:firstLine="480" w:firstLineChars="15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（4）、标准化提升改造完成情况</w:t>
      </w:r>
    </w:p>
    <w:p>
      <w:pPr>
        <w:ind w:firstLine="480" w:firstLineChars="15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2017年市政府下达我区的生猪标准化改造任务为254家，其中存栏250－1500头234家；存栏1500头以上17家。截止11月底存栏250－1500头已完成标准化改造234家，投入改造资金6300多万元；存栏1500－5000头已完成标准化升级改造20家，投入标准化改造资金3200多万元。目前，存栏1500头以上的生猪规模养殖场标准化升级改造项目均已完成工程初验，存栏250－1500头的标准化改造验收在12月底已全面完成。</w:t>
      </w:r>
    </w:p>
    <w:p>
      <w:pPr>
        <w:numPr>
          <w:ilvl w:val="0"/>
          <w:numId w:val="7"/>
        </w:numPr>
        <w:ind w:left="0" w:leftChars="0"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、发酵塔建设情况：2017年已经完成发酵塔验收389家，其中累计发酵塔796m3,过滤池10704.78 m3，高效栏截机90台，共下拨补助资金1744.05万元。</w:t>
      </w:r>
    </w:p>
    <w:p>
      <w:pPr>
        <w:numPr>
          <w:ilvl w:val="0"/>
          <w:numId w:val="7"/>
        </w:numPr>
        <w:ind w:left="0" w:leftChars="0" w:firstLine="640" w:firstLineChars="200"/>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根据我区制定的《新罗区2018年重点养殖区渔业水质监测和鱼病测报工作方案》，2017年1月起，我局每月20日、30日委托网箱养殖户进行水库水质简易测试（测试水温、溶氧、PH值），每月10日组织水技人员前往万安、白沙水库现场取样送实验室检测6项水质参数，4月、9月10日各开展1次特征污染物监测13项水质参数。监测数据显示万安、白沙水库水质监测指标异常（非离子氨、总氮、总磷）超标现象，我局立即启动应急监测，从4月中旬至5月上旬，进行每周两频次的水质监测工作，并向乡镇及养殖户发送预警信息，直至水质监测指标趋向正常。并于4月21日向区政府进行万安、白沙水库水质异常的报告。7月21日向市农业局进行万安、白沙水库水质呈富营养化趋势的报告。9月18日，对万安、白沙水库各监测点应急监测一次溶解氧。从9月中旬至10月底，对万安、白沙水库溶解氧情况进行密切关注，并在出现低溶解氧的情况下，立即启动低溶氧防范应急措施，对水库水质进行应急监测。</w:t>
      </w:r>
    </w:p>
    <w:p>
      <w:pPr>
        <w:numPr>
          <w:ilvl w:val="0"/>
          <w:numId w:val="7"/>
        </w:numPr>
        <w:ind w:left="0" w:leftChars="0" w:firstLine="640" w:firstLineChars="200"/>
        <w:rPr>
          <w:rFonts w:hint="eastAsia" w:ascii="仿宋_GB2312" w:hAnsi="仿宋_GB2312" w:eastAsia="仿宋_GB2312"/>
          <w:sz w:val="32"/>
          <w:szCs w:val="32"/>
          <w:lang w:val="en-US" w:eastAsia="zh-CN"/>
        </w:rPr>
      </w:pPr>
      <w:r>
        <w:rPr>
          <w:rFonts w:hint="eastAsia" w:ascii="仿宋" w:hAnsi="仿宋" w:eastAsia="仿宋" w:cs="仿宋"/>
          <w:b w:val="0"/>
          <w:bCs w:val="0"/>
          <w:sz w:val="32"/>
          <w:szCs w:val="32"/>
          <w:lang w:val="en-US" w:eastAsia="zh-CN"/>
        </w:rPr>
        <w:t>、根据《龙岩市新罗区农业局关于开展种畜禽质量安全集中整治工作的通知》龙新农【2018】155号文件，组织执法人员与监管人员对种畜禽场进行督查、检查，保证各场监督检查抽查率10%以上。各镇（街道）畜牧兽医水产站开展日常质量安全检查，做种场到100%检查，督查安全生产，确保种畜禽无重大疫病发生、安全生产，产业健康有序发展。</w:t>
      </w:r>
    </w:p>
    <w:p>
      <w:pPr>
        <w:numPr>
          <w:ilvl w:val="0"/>
          <w:numId w:val="7"/>
        </w:numPr>
        <w:ind w:left="0" w:leftChars="0" w:firstLine="640" w:firstLineChars="200"/>
        <w:rPr>
          <w:rFonts w:hint="eastAsia" w:ascii="仿宋_GB2312" w:hAnsi="仿宋_GB2312" w:eastAsia="仿宋_GB2312"/>
          <w:sz w:val="32"/>
          <w:szCs w:val="32"/>
          <w:lang w:val="en-US" w:eastAsia="zh-CN"/>
        </w:rPr>
      </w:pPr>
      <w:r>
        <w:rPr>
          <w:rFonts w:hint="eastAsia" w:ascii="仿宋" w:hAnsi="仿宋" w:eastAsia="仿宋" w:cs="仿宋"/>
          <w:b w:val="0"/>
          <w:bCs w:val="0"/>
          <w:sz w:val="32"/>
          <w:szCs w:val="32"/>
          <w:lang w:val="en-US" w:eastAsia="zh-CN"/>
        </w:rPr>
        <w:t>、根据新罗区重大动物疫情应急控制指挥部下达各镇（街道）的《2017-2018年重大动物疫病防控工作责任状》条目，将重大动物疫病防控工作列入区对镇（街道）经济社会工作目标责任制管理考评，全年设9项50分进行评价。确保动物群体免疫密度常年维持在90%以上，其中应免畜禽免疫密度要达到100%，免疫抗体合格率全年保持在70%以上，确保实现重大动物疫病发生的防控目标和无发生重大动物产品质量安全事件，进一步确保人民群众吃上“放心肉”，确保病死猪规范处置，保护生态环境。</w:t>
      </w:r>
    </w:p>
    <w:p>
      <w:pPr>
        <w:spacing w:line="600" w:lineRule="exact"/>
        <w:ind w:firstLine="643" w:firstLineChars="200"/>
        <w:rPr>
          <w:rFonts w:ascii="黑体" w:hAnsi="Times New Roman" w:eastAsia="黑体" w:cs="Times New Roman"/>
          <w:b/>
          <w:bCs/>
          <w:sz w:val="32"/>
          <w:szCs w:val="32"/>
        </w:rPr>
      </w:pPr>
      <w:r>
        <w:rPr>
          <w:rFonts w:hint="eastAsia" w:ascii="黑体" w:hAnsi="Times New Roman" w:eastAsia="黑体" w:cs="黑体"/>
          <w:b/>
          <w:bCs/>
          <w:sz w:val="32"/>
          <w:szCs w:val="32"/>
        </w:rPr>
        <w:t>五、项目存在的问题和改进措施</w:t>
      </w:r>
    </w:p>
    <w:p>
      <w:pPr>
        <w:ind w:firstLine="640" w:firstLineChars="200"/>
        <w:rPr>
          <w:rFonts w:ascii="仿宋" w:hAnsi="仿宋" w:eastAsia="仿宋"/>
          <w:sz w:val="32"/>
          <w:szCs w:val="32"/>
        </w:rPr>
      </w:pPr>
      <w:r>
        <w:rPr>
          <w:rFonts w:ascii="仿宋" w:hAnsi="仿宋" w:eastAsia="仿宋"/>
          <w:sz w:val="32"/>
          <w:szCs w:val="32"/>
        </w:rPr>
        <w:t>（一）项目存在的问题</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1、绩效目标合理性</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项目年度任务数与计划数无法相对应，扣两分，开展畜禽良种补贴、种畜场监测监管经费专项资金中，预期种猪监测可全面覆盖，因个体种猪场私自屠宰，无法及时监测。</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预算确定的项目投资额与资金量无法相匹配，扣一分，渔业水质监测经费专项资金中，经费安排使用范围为水环境监测，并未下达鱼病测报工作。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2、社会效益</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该专项资金用于加强动物疫病防疫，但无法全面覆盖。扣一分。</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3、环境效益</w:t>
      </w:r>
    </w:p>
    <w:p>
      <w:pPr>
        <w:pStyle w:val="5"/>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15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 xml:space="preserve"> 由于私屠乱宰窝点分布较广泛、密集，无法一次性完成剿毁。扣一分。</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right="0" w:rightChars="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 xml:space="preserve">   （二）项目改进措施</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1、尽量合理设定项目绩效目标，使绩效目标能够完全反映专项资金的投入产出和效益；</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2、为确保动物及动物产品检疫工作资金发挥最大效益，要监督好资金的使用，特别要是引入第三方中介机构进行监督；</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3、增加人力物力对动物定点屠宰监测监管进行更为严格的控制；</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4、增强执法力度，更有效的打击私屠乱宰窝点；</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5、提高对绩效工作的认识，强化了部门和单位的责任意识，重视绩效管理与绩效评价工作，为全面推进预算绩效管理工作奠定基础；</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6、健全制度，规范管理。加强了制度建设，强化了日常管理，进一步修订和完善了管理制度，努力提高各项管理水平。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3" w:firstLineChars="200"/>
        <w:textAlignment w:val="auto"/>
        <w:rPr>
          <w:rFonts w:hint="eastAsia" w:ascii="黑体" w:hAnsi="Times New Roman" w:eastAsia="黑体" w:cs="黑体"/>
          <w:b/>
          <w:bCs/>
          <w:sz w:val="32"/>
          <w:szCs w:val="32"/>
          <w:lang w:val="en-US" w:eastAsia="zh-CN"/>
        </w:rPr>
      </w:pPr>
      <w:r>
        <w:rPr>
          <w:rFonts w:hint="eastAsia" w:ascii="黑体" w:hAnsi="Times New Roman" w:eastAsia="黑体" w:cs="黑体"/>
          <w:b/>
          <w:bCs/>
          <w:sz w:val="32"/>
          <w:szCs w:val="32"/>
          <w:lang w:val="en-US" w:eastAsia="zh-CN"/>
        </w:rPr>
        <w:t>六、相关意见建议</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cs="Calibri"/>
          <w:kern w:val="2"/>
          <w:sz w:val="32"/>
          <w:szCs w:val="32"/>
          <w:lang w:val="en-US" w:eastAsia="zh-CN" w:bidi="ar-SA"/>
        </w:rPr>
      </w:pPr>
      <w:r>
        <w:rPr>
          <w:rFonts w:hint="eastAsia" w:ascii="仿宋" w:hAnsi="仿宋" w:eastAsia="仿宋" w:cs="Calibri"/>
          <w:kern w:val="2"/>
          <w:sz w:val="32"/>
          <w:szCs w:val="32"/>
          <w:lang w:val="en-US" w:eastAsia="zh-CN" w:bidi="ar-SA"/>
        </w:rPr>
        <w:t>项目的实施确实解决了项目单位部分动物疫病监测经费，促进了监测工作的开展；但是，随着监测数量逐年增加，有时还要开展紧急监测，再加上检测费用的不断提高，特别是病原学监测费用比较高。影响监测工作进一步深入的开展。</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cs="Calibri"/>
          <w:kern w:val="2"/>
          <w:sz w:val="32"/>
          <w:szCs w:val="32"/>
          <w:lang w:val="en-US" w:eastAsia="zh-CN" w:bidi="ar-SA"/>
        </w:rPr>
      </w:pPr>
      <w:r>
        <w:rPr>
          <w:rFonts w:hint="eastAsia" w:ascii="仿宋" w:hAnsi="仿宋" w:eastAsia="仿宋" w:cs="Calibri"/>
          <w:kern w:val="2"/>
          <w:sz w:val="32"/>
          <w:szCs w:val="32"/>
          <w:lang w:val="en-US" w:eastAsia="zh-CN" w:bidi="ar-SA"/>
        </w:rPr>
        <w:t>动物疫病监测是一项系统工程，涉及设施、人员、经费等方方面面，下一步将从以下几方面做好工作：</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cs="Calibri"/>
          <w:kern w:val="2"/>
          <w:sz w:val="32"/>
          <w:szCs w:val="32"/>
          <w:lang w:val="en-US" w:eastAsia="zh-CN" w:bidi="ar-SA"/>
        </w:rPr>
        <w:t>（一）继续加强培训工作。人是生</w:t>
      </w:r>
      <w:r>
        <w:rPr>
          <w:rFonts w:hint="eastAsia" w:ascii="仿宋" w:hAnsi="仿宋" w:eastAsia="仿宋"/>
          <w:kern w:val="2"/>
          <w:sz w:val="32"/>
          <w:szCs w:val="32"/>
          <w:lang w:val="en-US" w:eastAsia="zh-CN" w:bidi="ar-SA"/>
        </w:rPr>
        <w:t>产的第一要素，检测活动的主体是人员，人员是保证准确可靠的检测结果的关键所在。随着科学技术的进步，各种仪器设备的科技含量持续递增，实验室人员必须加大以现代高新技术为基础的培训，以促进实验室核心能力的形成，为实验室的可持续发展提供战略优势。</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二）加强基层能力建设。随着科学技术的不断发展，检测技术也在不断进步。各地动物疫病预防控制机构应注意优化检测方法，提高检测效率和准确性。在经济条件允许的情况下，因地制宜，加大设备的更新换代特别是加强县级机构的病原学监测能力的建设。</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我局将在以后的工作中加强预算管理，建立全面规范的绩效管理制度，完善全口径项目管理，积极推进绩效信息公开，严格控制各项经费的开支，厉行节约，提高经费的使用效益。</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right"/>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龙岩市新罗区农业局</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right"/>
        <w:textAlignment w:val="auto"/>
        <w:outlineLvl w:val="9"/>
        <w:rPr>
          <w:rFonts w:hint="eastAsia" w:ascii="仿宋" w:hAnsi="仿宋" w:eastAsia="仿宋"/>
          <w:kern w:val="2"/>
          <w:sz w:val="32"/>
          <w:szCs w:val="32"/>
          <w:lang w:val="en-US" w:eastAsia="zh-CN" w:bidi="ar-SA"/>
        </w:rPr>
      </w:pPr>
      <w:r>
        <w:rPr>
          <w:rFonts w:hint="eastAsia" w:ascii="仿宋" w:hAnsi="仿宋" w:eastAsia="仿宋"/>
          <w:kern w:val="2"/>
          <w:sz w:val="32"/>
          <w:szCs w:val="32"/>
          <w:lang w:val="en-US" w:eastAsia="zh-CN" w:bidi="ar-SA"/>
        </w:rPr>
        <w:t>2018年5月14日</w:t>
      </w:r>
    </w:p>
    <w:p>
      <w:pPr>
        <w:ind w:firstLine="4860" w:firstLineChars="1350"/>
        <w:rPr>
          <w:rFonts w:hint="eastAsia" w:ascii="宋体" w:hAnsi="宋体"/>
          <w:sz w:val="36"/>
          <w:szCs w:val="36"/>
        </w:rPr>
      </w:pPr>
      <w:r>
        <w:rPr>
          <w:rFonts w:hint="eastAsia" w:ascii="宋体" w:hAnsi="宋体"/>
          <w:sz w:val="36"/>
          <w:szCs w:val="36"/>
        </w:rPr>
        <w:t>2017年度农机购置补贴工作经费及农机</w:t>
      </w:r>
      <w:r>
        <w:rPr>
          <w:rFonts w:ascii="宋体" w:hAnsi="宋体"/>
          <w:sz w:val="36"/>
          <w:szCs w:val="36"/>
        </w:rPr>
        <w:br w:type="textWrapping"/>
      </w:r>
      <w:r>
        <w:rPr>
          <w:rFonts w:hint="eastAsia" w:ascii="宋体" w:hAnsi="宋体"/>
          <w:sz w:val="36"/>
          <w:szCs w:val="36"/>
        </w:rPr>
        <w:t>具新技术示范推广等经费项目资金使用绩效自评报告</w:t>
      </w:r>
    </w:p>
    <w:p>
      <w:pPr>
        <w:rPr>
          <w:rFonts w:hint="eastAsia" w:ascii="仿宋" w:hAnsi="仿宋" w:eastAsia="仿宋"/>
          <w:sz w:val="32"/>
          <w:szCs w:val="32"/>
        </w:rPr>
      </w:pPr>
      <w:r>
        <w:rPr>
          <w:rFonts w:hint="eastAsia" w:ascii="仿宋" w:hAnsi="仿宋" w:eastAsia="仿宋"/>
          <w:sz w:val="32"/>
          <w:szCs w:val="32"/>
        </w:rPr>
        <w:br w:type="textWrapping"/>
      </w:r>
      <w:r>
        <w:rPr>
          <w:rFonts w:hint="eastAsia" w:ascii="仿宋" w:hAnsi="仿宋" w:eastAsia="仿宋"/>
          <w:sz w:val="32"/>
          <w:szCs w:val="32"/>
        </w:rPr>
        <w:t xml:space="preserve">    </w:t>
      </w:r>
      <w:r>
        <w:rPr>
          <w:rFonts w:hint="eastAsia" w:ascii="仿宋" w:hAnsi="仿宋" w:eastAsia="仿宋"/>
          <w:b/>
          <w:sz w:val="32"/>
          <w:szCs w:val="32"/>
        </w:rPr>
        <w:t>一、项目概况</w:t>
      </w:r>
      <w:r>
        <w:rPr>
          <w:rFonts w:hint="eastAsia" w:ascii="仿宋" w:hAnsi="仿宋" w:eastAsia="仿宋"/>
          <w:b/>
          <w:sz w:val="32"/>
          <w:szCs w:val="32"/>
        </w:rPr>
        <w:br w:type="textWrapping"/>
      </w:r>
      <w:r>
        <w:rPr>
          <w:rFonts w:hint="eastAsia" w:ascii="仿宋" w:hAnsi="仿宋" w:eastAsia="仿宋"/>
          <w:sz w:val="32"/>
          <w:szCs w:val="32"/>
        </w:rPr>
        <w:t xml:space="preserve">    (一)项目单位基本情况:我站为新罗区农业局下属的副科级事业单位,内设股室为综合股和管理股,下属单位有区农机推广站、区农机学校和区农机监理站,目前全农机系统共有干部职工19人。我站的主要职能是负责宣传、贯彻有关农业机械行业的政策、法律、法规。负责农业机械化作业质量监督和农业机械维修行业管理,负责农业机械购置补贴工作的实施指导农机化服务体系建设;负责农业机械的安全监理;负责农业机械化、技术推广、教育等工作。</w:t>
      </w:r>
    </w:p>
    <w:p>
      <w:pPr>
        <w:ind w:firstLine="640" w:firstLineChars="200"/>
        <w:rPr>
          <w:rFonts w:hint="eastAsia" w:ascii="仿宋" w:hAnsi="仿宋" w:eastAsia="仿宋"/>
          <w:sz w:val="32"/>
          <w:szCs w:val="32"/>
        </w:rPr>
      </w:pPr>
      <w:r>
        <w:rPr>
          <w:rFonts w:hint="eastAsia" w:ascii="仿宋" w:hAnsi="仿宋" w:eastAsia="仿宋"/>
          <w:sz w:val="32"/>
          <w:szCs w:val="32"/>
        </w:rPr>
        <w:t>(二)项目基本情况:我站2017年实施项目为农机购置补</w:t>
      </w:r>
    </w:p>
    <w:p>
      <w:pPr>
        <w:rPr>
          <w:rFonts w:hint="eastAsia" w:ascii="仿宋" w:hAnsi="仿宋" w:eastAsia="仿宋"/>
          <w:b/>
          <w:sz w:val="32"/>
          <w:szCs w:val="32"/>
        </w:rPr>
      </w:pPr>
      <w:r>
        <w:rPr>
          <w:rFonts w:hint="eastAsia" w:ascii="仿宋" w:hAnsi="仿宋" w:eastAsia="仿宋"/>
          <w:sz w:val="32"/>
          <w:szCs w:val="32"/>
        </w:rPr>
        <w:t>贴工作经费及农机具新技术示范推广等经费项目。该项目根据龙新政办[2015]85号文、龙新委[2008]15号文、区政府专题会议纪要[2008]23号等文件精神立项。项目资金总体金额40万元,主要用于农机购置补贴工作经费、推广农机具新技术示范推广及宣传经费等,冬翻土补助,农机安全生产等。总体目标是全面落实农机购置补贴政策,大力推进粮食生产全程机械化,加快新机具新技术推广,提提升农机服务水平,强化农机安全监管,加强系统自身建设。</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仿宋" w:hAnsi="仿宋" w:eastAsia="仿宋"/>
          <w:b/>
          <w:sz w:val="32"/>
          <w:szCs w:val="32"/>
        </w:rPr>
        <w:t xml:space="preserve"> 二、专项支出项目实施基本情况</w:t>
      </w:r>
    </w:p>
    <w:p>
      <w:pPr>
        <w:ind w:firstLine="480" w:firstLineChars="150"/>
        <w:rPr>
          <w:rFonts w:hint="eastAsia" w:ascii="仿宋" w:hAnsi="仿宋" w:eastAsia="仿宋"/>
          <w:sz w:val="32"/>
          <w:szCs w:val="32"/>
        </w:rPr>
      </w:pPr>
      <w:r>
        <w:rPr>
          <w:rFonts w:hint="eastAsia" w:ascii="仿宋" w:hAnsi="仿宋" w:eastAsia="仿宋"/>
          <w:sz w:val="32"/>
          <w:szCs w:val="32"/>
        </w:rPr>
        <w:t>(一)项目组织管理情况:2017年,我站在区委、区政府</w:t>
      </w:r>
    </w:p>
    <w:p>
      <w:pPr>
        <w:rPr>
          <w:rFonts w:hint="eastAsia" w:ascii="仿宋" w:hAnsi="仿宋" w:eastAsia="仿宋"/>
          <w:sz w:val="32"/>
          <w:szCs w:val="32"/>
        </w:rPr>
      </w:pPr>
      <w:r>
        <w:rPr>
          <w:rFonts w:hint="eastAsia" w:ascii="仿宋" w:hAnsi="仿宋" w:eastAsia="仿宋"/>
          <w:sz w:val="32"/>
          <w:szCs w:val="32"/>
        </w:rPr>
        <w:t>、上级农机主管部门及各有关部门的领导和支持下,突出重点，狠抓难点,按照上级农机部门的统一部署,以调整优化农机装备结构布局、提高农机化作业水平、增强农业综合生产能力为主要任务,精心组织落实农机购置补贴政策、强化农机安全监管、大力推广农机新机具新技术,全区的农机管理服务水平得到了进一步的提升。</w:t>
      </w:r>
      <w:r>
        <w:rPr>
          <w:rFonts w:hint="eastAsia" w:ascii="仿宋" w:hAnsi="仿宋" w:eastAsia="仿宋"/>
          <w:sz w:val="32"/>
          <w:szCs w:val="32"/>
        </w:rPr>
        <w:br w:type="textWrapping"/>
      </w:r>
      <w:r>
        <w:rPr>
          <w:rFonts w:hint="eastAsia" w:ascii="仿宋" w:hAnsi="仿宋" w:eastAsia="仿宋"/>
          <w:sz w:val="32"/>
          <w:szCs w:val="32"/>
        </w:rPr>
        <w:t xml:space="preserve">    1、2017年主要农机化工作指标完成情况:农机新技术、新机具进一步推广,农机结构不断调整优化。全区推广各种起垄机、旋旋耕机、拖拉机等农业机械305台。机械化作业水平维持稳定水平。全区主要农作物机耕总面积14.4万亩、机收面积7.32万亩。农机安全生产保持良好态势。全区无重特大农机事故发生,无人员死亡。</w:t>
      </w:r>
    </w:p>
    <w:p>
      <w:pPr>
        <w:ind w:firstLine="640" w:firstLineChars="200"/>
        <w:rPr>
          <w:rFonts w:hint="eastAsia" w:ascii="仿宋" w:hAnsi="仿宋" w:eastAsia="仿宋"/>
          <w:sz w:val="32"/>
          <w:szCs w:val="32"/>
        </w:rPr>
      </w:pPr>
      <w:r>
        <w:rPr>
          <w:rFonts w:hint="eastAsia" w:ascii="仿宋" w:hAnsi="仿宋" w:eastAsia="仿宋"/>
          <w:sz w:val="32"/>
          <w:szCs w:val="32"/>
        </w:rPr>
        <w:t>2、保障措施:一是抓好三季农机作业,服务农业生产。</w:t>
      </w:r>
    </w:p>
    <w:p>
      <w:pPr>
        <w:rPr>
          <w:rFonts w:hint="eastAsia" w:ascii="仿宋" w:hAnsi="仿宋" w:eastAsia="仿宋"/>
          <w:sz w:val="32"/>
          <w:szCs w:val="32"/>
        </w:rPr>
      </w:pPr>
      <w:r>
        <w:rPr>
          <w:rFonts w:hint="eastAsia" w:ascii="仿宋" w:hAnsi="仿宋" w:eastAsia="仿宋"/>
          <w:sz w:val="32"/>
          <w:szCs w:val="32"/>
        </w:rPr>
        <w:t>二是认真落实农机购置补贴政策,积极推广农机新机具新技术。三是落实衣机安全生产责任制,全面加强农机安全监管,开展创建“平安农机”活动。四是抓好农机化公共服务管理,积极推进审批事项,提提高行政服务效率。</w:t>
      </w:r>
    </w:p>
    <w:p>
      <w:pPr>
        <w:ind w:firstLine="640" w:firstLineChars="200"/>
        <w:rPr>
          <w:rFonts w:hint="eastAsia" w:ascii="仿宋" w:hAnsi="仿宋" w:eastAsia="仿宋"/>
          <w:sz w:val="32"/>
          <w:szCs w:val="32"/>
        </w:rPr>
      </w:pPr>
      <w:r>
        <w:rPr>
          <w:rFonts w:hint="eastAsia" w:ascii="仿宋" w:hAnsi="仿宋" w:eastAsia="仿宋"/>
          <w:sz w:val="32"/>
          <w:szCs w:val="32"/>
        </w:rPr>
        <w:t>(二)项目资金使用状况:项目总投入为40万元,年度财</w:t>
      </w:r>
    </w:p>
    <w:p>
      <w:pPr>
        <w:rPr>
          <w:rFonts w:hint="eastAsia" w:ascii="仿宋" w:hAnsi="仿宋" w:eastAsia="仿宋"/>
          <w:sz w:val="32"/>
          <w:szCs w:val="32"/>
        </w:rPr>
      </w:pPr>
      <w:r>
        <w:rPr>
          <w:rFonts w:hint="eastAsia" w:ascii="仿宋" w:hAnsi="仿宋" w:eastAsia="仿宋"/>
          <w:sz w:val="32"/>
          <w:szCs w:val="32"/>
        </w:rPr>
        <w:t>政预算和资金拨付40万元,实际支出25.07万元。资金结合我区农机化工作需要统筹分配安排使用,资金使用合规。</w:t>
      </w:r>
      <w:r>
        <w:rPr>
          <w:rFonts w:ascii="仿宋" w:hAnsi="仿宋" w:eastAsia="仿宋"/>
          <w:sz w:val="32"/>
          <w:szCs w:val="32"/>
        </w:rPr>
        <w:br w:type="textWrapping"/>
      </w:r>
      <w:r>
        <w:rPr>
          <w:rFonts w:hint="eastAsia" w:ascii="仿宋" w:hAnsi="仿宋" w:eastAsia="仿宋"/>
          <w:sz w:val="32"/>
          <w:szCs w:val="32"/>
        </w:rPr>
        <w:t xml:space="preserve">   </w:t>
      </w:r>
      <w:r>
        <w:rPr>
          <w:rFonts w:hint="eastAsia" w:ascii="仿宋" w:hAnsi="仿宋" w:eastAsia="仿宋"/>
          <w:b/>
          <w:sz w:val="32"/>
          <w:szCs w:val="32"/>
        </w:rPr>
        <w:t xml:space="preserve"> 三、专项支出项目绩效分析</w:t>
      </w:r>
      <w:r>
        <w:rPr>
          <w:rFonts w:ascii="仿宋" w:hAnsi="仿宋" w:eastAsia="仿宋"/>
          <w:b/>
          <w:sz w:val="32"/>
          <w:szCs w:val="32"/>
        </w:rPr>
        <w:br w:type="textWrapping"/>
      </w:r>
      <w:r>
        <w:rPr>
          <w:rFonts w:hint="eastAsia" w:ascii="仿宋" w:hAnsi="仿宋" w:eastAsia="仿宋"/>
          <w:sz w:val="32"/>
          <w:szCs w:val="32"/>
        </w:rPr>
        <w:t xml:space="preserve">    (一)、项目绩效评价工作开展情况:2017年，我站被评价项目总体绩效目标明确，决策依据充分，资金分配科学合理，项目管理较规范。我站采用因素分析法作为项目评价方法。评价指标分为三级。一级指标分为投入、过程和产出与效益,权重分别为30分、30分和40分。在具体实施过程中，我站预算编制质量较好，预算信息公开符合要求；预算执行进度良好；财务制度健全，会计核算总体规范、准确；项目在实施过程中严格执行有关制度规定，基本达到了预期效果。</w:t>
      </w:r>
    </w:p>
    <w:p>
      <w:pPr>
        <w:rPr>
          <w:rFonts w:hint="eastAsia" w:ascii="仿宋" w:hAnsi="仿宋" w:eastAsia="仿宋"/>
          <w:sz w:val="32"/>
          <w:szCs w:val="32"/>
        </w:rPr>
      </w:pPr>
      <w:r>
        <w:rPr>
          <w:rFonts w:hint="eastAsia" w:ascii="仿宋" w:hAnsi="仿宋" w:eastAsia="仿宋"/>
          <w:color w:val="000000"/>
          <w:sz w:val="32"/>
          <w:szCs w:val="32"/>
          <w:shd w:val="clear" w:color="auto" w:fill="F5FAFE"/>
        </w:rPr>
        <w:t xml:space="preserve">    </w:t>
      </w:r>
      <w:r>
        <w:rPr>
          <w:rFonts w:hint="eastAsia" w:ascii="仿宋" w:hAnsi="仿宋" w:eastAsia="仿宋"/>
          <w:sz w:val="32"/>
          <w:szCs w:val="32"/>
        </w:rPr>
        <w:t>(二)、项目目绩效目标完成情况</w:t>
      </w:r>
      <w:r>
        <w:rPr>
          <w:rFonts w:ascii="仿宋" w:hAnsi="仿宋" w:eastAsia="仿宋"/>
          <w:sz w:val="32"/>
          <w:szCs w:val="32"/>
        </w:rPr>
        <w:br w:type="textWrapping"/>
      </w:r>
      <w:r>
        <w:rPr>
          <w:rFonts w:hint="eastAsia" w:ascii="仿宋" w:hAnsi="仿宋" w:eastAsia="仿宋"/>
          <w:sz w:val="32"/>
          <w:szCs w:val="32"/>
        </w:rPr>
        <w:t xml:space="preserve">    数量目标:全区主要农作物机耕作业面积为14.4万亩、全区主要农作物机收作业面积7.32万亩、农机购置补贴305台、农机安全生产无发生农机领域死亡事故。</w:t>
      </w:r>
      <w:r>
        <w:rPr>
          <w:rFonts w:ascii="仿宋" w:hAnsi="仿宋" w:eastAsia="仿宋"/>
          <w:sz w:val="32"/>
          <w:szCs w:val="32"/>
        </w:rPr>
        <w:br w:type="textWrapping"/>
      </w:r>
      <w:r>
        <w:rPr>
          <w:rFonts w:hint="eastAsia" w:ascii="仿宋" w:hAnsi="仿宋" w:eastAsia="仿宋"/>
          <w:sz w:val="32"/>
          <w:szCs w:val="32"/>
        </w:rPr>
        <w:t xml:space="preserve">    效益目标:改善了农民生产经营条件,提高了农业生产服务能力,促进了农村劳动力转移,推进了农机安全生产,促进了农业科技进步,群众满意度保持在较高水平。</w:t>
      </w:r>
      <w:r>
        <w:rPr>
          <w:rFonts w:hint="eastAsia" w:ascii="仿宋" w:hAnsi="仿宋" w:eastAsia="仿宋"/>
          <w:sz w:val="32"/>
          <w:szCs w:val="32"/>
        </w:rPr>
        <w:br w:type="textWrapping"/>
      </w:r>
      <w:r>
        <w:rPr>
          <w:rFonts w:hint="eastAsia" w:ascii="仿宋" w:hAnsi="仿宋" w:eastAsia="仿宋"/>
          <w:sz w:val="32"/>
          <w:szCs w:val="32"/>
        </w:rPr>
        <w:t xml:space="preserve">    (三)项目绩效分析:</w:t>
      </w:r>
      <w:r>
        <w:rPr>
          <w:rFonts w:ascii="仿宋" w:hAnsi="仿宋" w:eastAsia="仿宋"/>
          <w:sz w:val="32"/>
          <w:szCs w:val="32"/>
        </w:rPr>
        <w:br w:type="textWrapping"/>
      </w:r>
      <w:r>
        <w:rPr>
          <w:rFonts w:hint="eastAsia" w:ascii="仿宋" w:hAnsi="仿宋" w:eastAsia="仿宋"/>
          <w:sz w:val="32"/>
          <w:szCs w:val="32"/>
        </w:rPr>
        <w:t xml:space="preserve">    1、项目投入情况（分值30分，自评得分28分）</w:t>
      </w:r>
      <w:r>
        <w:rPr>
          <w:rFonts w:ascii="仿宋" w:hAnsi="仿宋" w:eastAsia="仿宋"/>
          <w:sz w:val="32"/>
          <w:szCs w:val="32"/>
        </w:rPr>
        <w:br w:type="textWrapping"/>
      </w:r>
      <w:r>
        <w:rPr>
          <w:rFonts w:hint="eastAsia" w:ascii="仿宋" w:hAnsi="仿宋" w:eastAsia="仿宋"/>
          <w:sz w:val="32"/>
          <w:szCs w:val="32"/>
        </w:rPr>
        <w:t xml:space="preserve">   （1）项目实际实施月份和计划月份同步。实际实施月份不晚于计划月份，得满分6分。（2）实施项目与项目年度任务数相对应；与预算确定的项目投资额或资金量相匹配得满分5分。（3）将项目绩效目标细化分解为具体的绩效指标；通过清晰、可衡量的指标值予以体现，得满分5分。（4）目标完成率75%。得分4.5分。（5）资金使用25.07万元，使用率为62.7%，得分2分。（6）资金到位40万元，到位率100%，得满分4分。投入指标得分26.5分。</w:t>
      </w:r>
      <w:r>
        <w:rPr>
          <w:rFonts w:hint="eastAsia" w:ascii="仿宋" w:hAnsi="仿宋" w:eastAsia="仿宋"/>
          <w:sz w:val="32"/>
          <w:szCs w:val="32"/>
        </w:rPr>
        <w:br w:type="textWrapping"/>
      </w:r>
      <w:r>
        <w:rPr>
          <w:rFonts w:hint="eastAsia" w:ascii="仿宋" w:hAnsi="仿宋" w:eastAsia="仿宋"/>
          <w:sz w:val="32"/>
          <w:szCs w:val="32"/>
        </w:rPr>
        <w:t xml:space="preserve">    2、项目过程情况（分值30分，自评得分28分）</w:t>
      </w:r>
      <w:r>
        <w:rPr>
          <w:rFonts w:ascii="仿宋" w:hAnsi="仿宋" w:eastAsia="仿宋"/>
          <w:sz w:val="32"/>
          <w:szCs w:val="32"/>
        </w:rPr>
        <w:br w:type="textWrapping"/>
      </w:r>
      <w:r>
        <w:rPr>
          <w:rFonts w:hint="eastAsia" w:ascii="仿宋" w:hAnsi="仿宋" w:eastAsia="仿宋"/>
          <w:sz w:val="32"/>
          <w:szCs w:val="32"/>
        </w:rPr>
        <w:t xml:space="preserve">   （1）已制定单位内控管理手册，有相应的业务管理制度；业务管理制度合法、合规、完整。得满分4分。（2）遵守相关法律法规和业务管理规定；项目合同书、验收报告、技术鉴定等资料不够齐全；项目实施的人员条件、场地设备、信息支撑等落实到位。得分3分。（3）相应的项目质量要求或标准制定不完善；采取了必需的控制措施或手段。得3分。（4）有专门的项目资金管理办法；项目资金管理办法是否符合相关财务会计制度的规定，得分4分。（5）资金的使用符合有关专项资金管理办法的规定，资金的拨付有完整的审批程序和手续；得分4分。（6）资金使用符合项目预算批复或合同规定的用途，不存在截留、挤占、挪用等情况。得分4分。（7）项目相关的会计核算规范，得分3分。（8）项目会计核算相关资料是否完整。得分3分。过程指标得分28分。</w:t>
      </w:r>
      <w:r>
        <w:rPr>
          <w:rFonts w:hint="eastAsia" w:ascii="仿宋" w:hAnsi="仿宋" w:eastAsia="仿宋"/>
          <w:sz w:val="32"/>
          <w:szCs w:val="32"/>
        </w:rPr>
        <w:br w:type="textWrapping"/>
      </w:r>
      <w:r>
        <w:rPr>
          <w:rFonts w:hint="eastAsia" w:ascii="仿宋" w:hAnsi="仿宋" w:eastAsia="仿宋"/>
          <w:sz w:val="32"/>
          <w:szCs w:val="32"/>
        </w:rPr>
        <w:t xml:space="preserve">    3、项目产出与效益情况（分值40分,自评得分37.5分） </w:t>
      </w:r>
      <w:r>
        <w:rPr>
          <w:rFonts w:ascii="仿宋" w:hAnsi="仿宋" w:eastAsia="仿宋"/>
          <w:sz w:val="32"/>
          <w:szCs w:val="32"/>
        </w:rPr>
        <w:br w:type="textWrapping"/>
      </w:r>
      <w:r>
        <w:rPr>
          <w:rFonts w:hint="eastAsia" w:ascii="仿宋" w:hAnsi="仿宋" w:eastAsia="仿宋"/>
          <w:sz w:val="32"/>
          <w:szCs w:val="32"/>
        </w:rPr>
        <w:t xml:space="preserve">   （1）全区主要农作物机耕作业面积目标完成率=实际完成面积14.4万亩÷计划完成面积13万亩，完成率为110.76%，得分7分。（2）全区主要农作物机收作业面积目标完成率=实际完成面积7.32万亩÷计划完成面积5万亩，完成率为146.4%，得分7分。（3）农机购置补贴台数目标完成率=实际完成台数305台÷计划完成台数350台，完成率为87.1%，得分4.5分。（4）农机安全生产无发生农机领域死亡，得分7分。（5）社会效益显著，提高了我区农业劳动生产力，促进了农民增收，确保了粮食生产安全和农民生命财产安全。得分4分。（6）可持续效益明显，推动了三农发展，促进了农业科技进步，维护了农民群众切身利益。得分4分。（7）服务对象满意度，根据服务对象现场评价，满意度为100%，得分4分。产出与效益指标得分为37.5分。总评价得分为93.5分。</w:t>
      </w:r>
    </w:p>
    <w:p>
      <w:pPr>
        <w:ind w:left="105" w:leftChars="50" w:firstLine="643" w:firstLineChars="200"/>
        <w:rPr>
          <w:rFonts w:hint="eastAsia" w:ascii="仿宋" w:hAnsi="仿宋" w:eastAsia="仿宋"/>
          <w:b/>
          <w:sz w:val="32"/>
          <w:szCs w:val="32"/>
        </w:rPr>
      </w:pPr>
      <w:r>
        <w:rPr>
          <w:rFonts w:hint="eastAsia" w:ascii="仿宋" w:hAnsi="仿宋" w:eastAsia="仿宋"/>
          <w:b/>
          <w:sz w:val="32"/>
          <w:szCs w:val="32"/>
        </w:rPr>
        <w:t>四、工作成效</w:t>
      </w:r>
    </w:p>
    <w:p>
      <w:pPr>
        <w:ind w:firstLine="640" w:firstLineChars="200"/>
        <w:rPr>
          <w:rFonts w:hint="eastAsia" w:ascii="仿宋" w:hAnsi="仿宋" w:eastAsia="仿宋"/>
          <w:sz w:val="32"/>
          <w:szCs w:val="32"/>
        </w:rPr>
      </w:pPr>
      <w:r>
        <w:rPr>
          <w:rFonts w:hint="eastAsia" w:ascii="仿宋" w:hAnsi="仿宋" w:eastAsia="仿宋"/>
          <w:sz w:val="32"/>
          <w:szCs w:val="32"/>
        </w:rPr>
        <w:t>通过项目实施,2017年,全区主要农作物机耕作业面积为14.4万亩，全区主要农作物机收作业面积7.32万亩，农机购置补贴305台，农机安全生产无发生农机领域死亡事故。改善了农民生产经营条件,提高了农业生产服务能力,促进了农村劳动力转移,推进了农机安全生产,促促进了农业科技进步,群众满意度保持在较高水平。</w:t>
      </w:r>
    </w:p>
    <w:p>
      <w:pPr>
        <w:ind w:firstLine="643" w:firstLineChars="200"/>
        <w:rPr>
          <w:rFonts w:hint="eastAsia" w:ascii="仿宋" w:hAnsi="仿宋" w:eastAsia="仿宋"/>
          <w:b/>
          <w:sz w:val="32"/>
          <w:szCs w:val="32"/>
        </w:rPr>
      </w:pPr>
      <w:r>
        <w:rPr>
          <w:rFonts w:hint="eastAsia" w:ascii="仿宋" w:hAnsi="仿宋" w:eastAsia="仿宋"/>
          <w:b/>
          <w:sz w:val="32"/>
          <w:szCs w:val="32"/>
        </w:rPr>
        <w:t>五、项目存在的问题和改进措施</w:t>
      </w:r>
    </w:p>
    <w:p>
      <w:pPr>
        <w:ind w:firstLine="640" w:firstLineChars="200"/>
        <w:rPr>
          <w:rFonts w:hint="eastAsia" w:ascii="仿宋" w:hAnsi="仿宋" w:eastAsia="仿宋"/>
          <w:sz w:val="32"/>
          <w:szCs w:val="32"/>
        </w:rPr>
      </w:pPr>
      <w:r>
        <w:rPr>
          <w:rFonts w:hint="eastAsia" w:ascii="仿宋" w:hAnsi="仿宋" w:eastAsia="仿宋"/>
          <w:sz w:val="32"/>
          <w:szCs w:val="32"/>
        </w:rPr>
        <w:t>(一)项目存在的问题</w:t>
      </w:r>
    </w:p>
    <w:p>
      <w:pPr>
        <w:pStyle w:val="5"/>
        <w:shd w:val="clear" w:color="auto" w:fill="FFFFFF"/>
        <w:spacing w:before="0" w:beforeAutospacing="0" w:after="0" w:afterAutospacing="0"/>
        <w:ind w:firstLine="640" w:firstLineChars="200"/>
        <w:textAlignment w:val="baseline"/>
        <w:rPr>
          <w:rFonts w:hint="eastAsia" w:ascii="仿宋" w:hAnsi="仿宋" w:eastAsia="仿宋" w:cs="Times New Roman"/>
          <w:kern w:val="2"/>
          <w:sz w:val="32"/>
          <w:szCs w:val="32"/>
        </w:rPr>
      </w:pPr>
      <w:r>
        <w:rPr>
          <w:rFonts w:hint="eastAsia" w:ascii="仿宋" w:hAnsi="仿宋" w:eastAsia="仿宋"/>
          <w:sz w:val="32"/>
          <w:szCs w:val="32"/>
        </w:rPr>
        <w:t>一是资金使用管理实施进度偏慢,没有达到70%的完成目标率。二是绩效目标中的农机购置补贴台数目标没有全面完成。主要原因是由于2006年实施农机购置补贴政策以来,我区农民积极购置农机具,近年来全区农民使用的农机具不断趋于阶段性饱和,市场需求逐年下降,且购置农机具属农民自主行为,所以每年补贴数量具有不确定性。三是个别项目质量要求或标准制定不健全不完善，如农机作业服务质量标准不完善等。</w:t>
      </w:r>
      <w:r>
        <w:rPr>
          <w:rFonts w:ascii="仿宋" w:hAnsi="仿宋" w:eastAsia="仿宋"/>
          <w:sz w:val="32"/>
          <w:szCs w:val="32"/>
        </w:rPr>
        <w:br w:type="textWrapping"/>
      </w:r>
      <w:r>
        <w:rPr>
          <w:rFonts w:hint="eastAsia" w:ascii="仿宋" w:hAnsi="仿宋" w:eastAsia="仿宋"/>
          <w:sz w:val="32"/>
          <w:szCs w:val="32"/>
        </w:rPr>
        <w:t xml:space="preserve">    (二)项目改进措施</w:t>
      </w:r>
      <w:r>
        <w:rPr>
          <w:rFonts w:ascii="仿宋" w:hAnsi="仿宋" w:eastAsia="仿宋"/>
          <w:sz w:val="32"/>
          <w:szCs w:val="32"/>
        </w:rPr>
        <w:br w:type="textWrapping"/>
      </w:r>
      <w:r>
        <w:rPr>
          <w:rFonts w:hint="eastAsia" w:ascii="仿宋" w:hAnsi="仿宋" w:eastAsia="仿宋"/>
          <w:sz w:val="32"/>
          <w:szCs w:val="32"/>
        </w:rPr>
        <w:t xml:space="preserve">    1、</w:t>
      </w:r>
      <w:r>
        <w:rPr>
          <w:rFonts w:hint="eastAsia" w:ascii="仿宋" w:hAnsi="仿宋" w:eastAsia="仿宋" w:cs="Times New Roman"/>
          <w:kern w:val="2"/>
          <w:sz w:val="32"/>
          <w:szCs w:val="32"/>
        </w:rPr>
        <w:t>进一步健全和完善财务管理制度及内部控制制度。要创新管理手段，用新思路、新方法，改进完善财务管理方法。要按照财政支出绩效管理的要求，建立科学的财政资金效益考评制度体系，不断提高财政资金使用管理的水平和效率，提高资金使用管理的实施进度。</w:t>
      </w:r>
    </w:p>
    <w:p>
      <w:pPr>
        <w:ind w:firstLine="640" w:firstLineChars="200"/>
        <w:rPr>
          <w:rFonts w:hint="eastAsia" w:ascii="仿宋" w:hAnsi="仿宋" w:eastAsia="仿宋"/>
          <w:sz w:val="32"/>
          <w:szCs w:val="32"/>
        </w:rPr>
      </w:pPr>
      <w:r>
        <w:rPr>
          <w:rFonts w:hint="eastAsia" w:ascii="仿宋" w:hAnsi="仿宋" w:eastAsia="仿宋"/>
          <w:sz w:val="32"/>
          <w:szCs w:val="32"/>
        </w:rPr>
        <w:t>2、认真落实农机购置补贴强农惠农政策。一要加大力度推广农机新机具新技术，大力引进先进适用的农业机械化新技术和新机具，进行试验示范和推广应用。二要加大农机培训力度，组织开展新技术新机具现场演示活动，宣传农机新技术，推广农机新机具。同时紧紧围绕特色产业和生产急需，搞好农机驾驶操作人员、维修人员及农机户的培训。三要保持稳定的农机购置补贴方式；深入开展农机购置补贴管理人员培训和反腐倡廉警示教育活动;加大对补贴实施情况的核査,加强对补贴产品经营行为和补贴机具质量的监管,严肃查处违规违法行为;强化补贴信息公开。</w:t>
      </w:r>
    </w:p>
    <w:p>
      <w:pPr>
        <w:rPr>
          <w:rFonts w:hint="eastAsia" w:ascii="仿宋" w:hAnsi="仿宋" w:eastAsia="仿宋"/>
          <w:kern w:val="2"/>
          <w:sz w:val="32"/>
          <w:szCs w:val="32"/>
          <w:lang w:val="en-US" w:eastAsia="zh-CN" w:bidi="ar-SA"/>
        </w:rPr>
      </w:pPr>
      <w:r>
        <w:rPr>
          <w:rFonts w:hint="eastAsia" w:ascii="仿宋" w:hAnsi="仿宋" w:eastAsia="仿宋"/>
          <w:sz w:val="32"/>
          <w:szCs w:val="32"/>
        </w:rPr>
        <w:t xml:space="preserve">    3.健全完善农机作业服务质量标准。制定农机作业服务质量标准，加强“春耕、夏”、“三秋”、农业抗灾救灾等重要农时机械化生产作业。进一步加大工作力度,精心组织做好农机生产作业服务,积极组织机耕、机播、机收服务队开展抢收抢种、抗旱排涝等农机作业服务,确保关键农时季节生产顺利进行,促进农业增产增收。强化农机跨区作业组织管理和协调服务,推动农机化生产有序进行。</w:t>
      </w:r>
    </w:p>
    <w:p>
      <w:pPr>
        <w:pStyle w:val="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rightChars="0" w:firstLine="640" w:firstLineChars="200"/>
        <w:jc w:val="right"/>
        <w:textAlignment w:val="auto"/>
        <w:outlineLvl w:val="9"/>
        <w:rPr>
          <w:rFonts w:hint="eastAsia" w:ascii="仿宋" w:hAnsi="仿宋" w:eastAsia="仿宋"/>
          <w:kern w:val="2"/>
          <w:sz w:val="32"/>
          <w:szCs w:val="32"/>
          <w:lang w:val="en-US" w:eastAsia="zh-CN" w:bidi="ar-SA"/>
        </w:rPr>
      </w:pPr>
    </w:p>
    <w:p>
      <w:pPr>
        <w:autoSpaceDE w:val="0"/>
        <w:autoSpaceDN w:val="0"/>
        <w:adjustRightInd w:val="0"/>
        <w:spacing w:line="600" w:lineRule="exact"/>
        <w:ind w:firstLine="640" w:firstLineChars="200"/>
        <w:jc w:val="left"/>
        <w:rPr>
          <w:rFonts w:ascii="仿宋" w:hAnsi="仿宋" w:eastAsia="仿宋" w:cs="仿宋_GB2312"/>
          <w:kern w:val="0"/>
          <w:sz w:val="32"/>
          <w:szCs w:val="32"/>
        </w:rPr>
      </w:pPr>
      <w:r>
        <w:rPr>
          <w:rFonts w:hint="eastAsia" w:ascii="黑体" w:hAnsi="黑体" w:eastAsia="黑体" w:cs="仿宋_GB2312"/>
          <w:kern w:val="0"/>
          <w:sz w:val="32"/>
          <w:szCs w:val="32"/>
        </w:rPr>
        <w:t>十、名词解释</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（一）财政拨款收入：指区级财政当年拨付的资金。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等以外的收入。主要是按规定动用的售房收入、存款利息收入等。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 xml:space="preserve">不足以安排当年支出的情况下，使用以前年度积累的事业基金（事业单位当年收支相抵后按国家规定提取、用于弥补以后年度收支差额的基金）弥补本年度收支缺口的资金。 </w:t>
      </w:r>
    </w:p>
    <w:p>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pPr>
        <w:pStyle w:val="8"/>
        <w:spacing w:line="600" w:lineRule="exact"/>
        <w:ind w:firstLine="640"/>
        <w:rPr>
          <w:rFonts w:hAnsi="仿宋"/>
          <w:sz w:val="32"/>
          <w:szCs w:val="32"/>
        </w:rPr>
      </w:pPr>
      <w:r>
        <w:rPr>
          <w:rFonts w:hint="eastAsia" w:hAnsi="仿宋"/>
          <w:sz w:val="32"/>
          <w:szCs w:val="32"/>
        </w:rPr>
        <w:t xml:space="preserve">（七）结余分配：指事业单位按规定提取的职工福利基金、事业基金和缴纳的所得税，以及建设单位按规定应交回的基本建设竣工项目结余资金。 </w:t>
      </w:r>
    </w:p>
    <w:p>
      <w:pPr>
        <w:pStyle w:val="8"/>
        <w:spacing w:line="600" w:lineRule="exact"/>
        <w:ind w:firstLine="640"/>
        <w:rPr>
          <w:rFonts w:hAnsi="仿宋"/>
          <w:sz w:val="32"/>
          <w:szCs w:val="32"/>
        </w:rPr>
      </w:pPr>
      <w:r>
        <w:rPr>
          <w:rFonts w:hint="eastAsia" w:hAnsi="仿宋"/>
          <w:sz w:val="32"/>
          <w:szCs w:val="32"/>
        </w:rPr>
        <w:t xml:space="preserve">（八）年末结转和结余：指本年度或以前年度预算安排、因客观条件发生变化无法按原计划实施，需延迟到以后年度按有关规定继续使用的资金。 </w:t>
      </w:r>
    </w:p>
    <w:p>
      <w:pPr>
        <w:pStyle w:val="8"/>
        <w:spacing w:line="600" w:lineRule="exact"/>
        <w:ind w:firstLine="640"/>
        <w:rPr>
          <w:rFonts w:hAnsi="仿宋"/>
          <w:sz w:val="32"/>
          <w:szCs w:val="32"/>
        </w:rPr>
      </w:pPr>
      <w:r>
        <w:rPr>
          <w:rFonts w:hint="eastAsia" w:hAnsi="仿宋"/>
          <w:sz w:val="32"/>
          <w:szCs w:val="32"/>
        </w:rPr>
        <w:t xml:space="preserve">（九）基本支出：指为保障机构正常运转、完成日常工作任务而发生的人员支出和公用支出。 </w:t>
      </w:r>
    </w:p>
    <w:p>
      <w:pPr>
        <w:pStyle w:val="8"/>
        <w:spacing w:line="600" w:lineRule="exact"/>
        <w:ind w:firstLine="640"/>
        <w:rPr>
          <w:rFonts w:hAnsi="仿宋"/>
          <w:sz w:val="32"/>
          <w:szCs w:val="32"/>
        </w:rPr>
      </w:pPr>
      <w:r>
        <w:rPr>
          <w:rFonts w:hint="eastAsia" w:hAnsi="仿宋"/>
          <w:sz w:val="32"/>
          <w:szCs w:val="32"/>
        </w:rPr>
        <w:t xml:space="preserve">（十）项目支出：指在基本支出之外为完成特定行政任务和事业发展目标所发生的支出。 </w:t>
      </w:r>
    </w:p>
    <w:p>
      <w:pPr>
        <w:pStyle w:val="8"/>
        <w:spacing w:line="600" w:lineRule="exact"/>
        <w:ind w:firstLine="640"/>
        <w:rPr>
          <w:rFonts w:hAnsi="仿宋"/>
          <w:sz w:val="32"/>
          <w:szCs w:val="32"/>
        </w:rPr>
      </w:pPr>
      <w:r>
        <w:rPr>
          <w:rFonts w:hint="eastAsia" w:hAnsi="仿宋"/>
          <w:sz w:val="32"/>
          <w:szCs w:val="32"/>
        </w:rPr>
        <w:t xml:space="preserve">（十一）经营支出：指事业单位在专业业务活动及其辅助活动之外开展非独立核算经营活动发生的支出。 </w:t>
      </w:r>
    </w:p>
    <w:p>
      <w:pPr>
        <w:pStyle w:val="8"/>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经费：纳入区级财政预决算管理的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 xml:space="preserve">经费，是指区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spacing w:line="600" w:lineRule="exact"/>
        <w:ind w:firstLine="640" w:firstLineChars="200"/>
        <w:rPr>
          <w:rFonts w:ascii="仿宋" w:hAnsi="仿宋" w:eastAsia="仿宋"/>
          <w:sz w:val="32"/>
          <w:szCs w:val="32"/>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firstLineChars="200"/>
        <w:rPr>
          <w:rFonts w:ascii="仿宋" w:hAnsi="仿宋" w:eastAsia="仿宋"/>
          <w:sz w:val="32"/>
          <w:szCs w:val="32"/>
        </w:rPr>
      </w:pPr>
    </w:p>
    <w:p>
      <w:pPr>
        <w:spacing w:line="600" w:lineRule="exact"/>
        <w:ind w:firstLine="584" w:firstLineChars="200"/>
        <w:rPr>
          <w:rFonts w:ascii="仿宋" w:hAnsi="仿宋" w:eastAsia="仿宋"/>
          <w:spacing w:val="-14"/>
          <w:sz w:val="32"/>
          <w:szCs w:val="32"/>
        </w:rPr>
      </w:pPr>
      <w:r>
        <w:rPr>
          <w:rFonts w:hint="eastAsia" w:ascii="仿宋" w:hAnsi="仿宋" w:eastAsia="仿宋"/>
          <w:spacing w:val="-14"/>
          <w:sz w:val="32"/>
          <w:szCs w:val="32"/>
        </w:rPr>
        <w:t>附表：</w:t>
      </w:r>
      <w:r>
        <w:rPr>
          <w:rFonts w:ascii="仿宋" w:hAnsi="仿宋" w:eastAsia="仿宋"/>
          <w:spacing w:val="-14"/>
          <w:sz w:val="32"/>
          <w:szCs w:val="32"/>
        </w:rPr>
        <w:t>4-1××年度收支决算总表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4-2××年度收入决算表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4-3××年度支出决算表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4-4××年度财政拨款收支决算总表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4-5××年度一般公共财政拨款支出决算表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4-6××年度一般公共预算支出经济分类决算情况表</w:t>
      </w:r>
    </w:p>
    <w:p>
      <w:pPr>
        <w:spacing w:line="600" w:lineRule="exact"/>
        <w:ind w:firstLine="1496" w:firstLineChars="550"/>
        <w:rPr>
          <w:rFonts w:ascii="仿宋" w:hAnsi="仿宋" w:eastAsia="仿宋"/>
          <w:spacing w:val="-24"/>
          <w:sz w:val="32"/>
          <w:szCs w:val="32"/>
        </w:rPr>
      </w:pPr>
      <w:r>
        <w:rPr>
          <w:rFonts w:ascii="仿宋" w:hAnsi="仿宋" w:eastAsia="仿宋"/>
          <w:spacing w:val="-24"/>
          <w:sz w:val="32"/>
          <w:szCs w:val="32"/>
        </w:rPr>
        <w:t>4-7××年度一般公共预算基本支出经济分类决算情况表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4-8××年度政府性基金支出决算表</w:t>
      </w:r>
    </w:p>
    <w:p>
      <w:pPr>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4-9××年度部门决算相关信息统计表</w:t>
      </w:r>
    </w:p>
    <w:p>
      <w:pPr>
        <w:tabs>
          <w:tab w:val="left" w:pos="6140"/>
        </w:tabs>
        <w:spacing w:line="600" w:lineRule="exact"/>
        <w:ind w:firstLine="1460" w:firstLineChars="500"/>
        <w:rPr>
          <w:rFonts w:ascii="仿宋" w:hAnsi="仿宋" w:eastAsia="仿宋"/>
          <w:spacing w:val="-14"/>
          <w:sz w:val="32"/>
          <w:szCs w:val="32"/>
        </w:rPr>
      </w:pPr>
      <w:r>
        <w:rPr>
          <w:rFonts w:ascii="仿宋" w:hAnsi="仿宋" w:eastAsia="仿宋"/>
          <w:spacing w:val="-14"/>
          <w:sz w:val="32"/>
          <w:szCs w:val="32"/>
        </w:rPr>
        <w:t>4-10××年度政府采购情况表</w:t>
      </w:r>
      <w:r>
        <w:rPr>
          <w:rFonts w:ascii="仿宋" w:hAnsi="仿宋" w:eastAsia="仿宋"/>
          <w:spacing w:val="-14"/>
          <w:sz w:val="32"/>
          <w:szCs w:val="32"/>
        </w:rPr>
        <w:tab/>
      </w:r>
    </w:p>
    <w:p/>
    <w:p>
      <w:pPr>
        <w:jc w:val="left"/>
        <w:rPr>
          <w:rFonts w:ascii="仿宋" w:hAnsi="仿宋" w:eastAsia="仿宋"/>
          <w:sz w:val="32"/>
          <w:szCs w:val="32"/>
        </w:rPr>
      </w:pPr>
    </w:p>
    <w:p>
      <w:pPr>
        <w:jc w:val="left"/>
        <w:rPr>
          <w:rFonts w:ascii="仿宋" w:hAnsi="仿宋" w:eastAsia="仿宋"/>
          <w:sz w:val="32"/>
          <w:szCs w:val="32"/>
        </w:rPr>
      </w:pPr>
    </w:p>
    <w:p>
      <w:pPr>
        <w:jc w:val="left"/>
        <w:rPr>
          <w:rFonts w:ascii="仿宋" w:hAnsi="仿宋" w:eastAsia="仿宋"/>
          <w:sz w:val="32"/>
          <w:szCs w:val="32"/>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黑体.....">
    <w:altName w:val="黑体"/>
    <w:panose1 w:val="00000000000000000000"/>
    <w:charset w:val="86"/>
    <w:family w:val="swiss"/>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BDB74"/>
    <w:multiLevelType w:val="singleLevel"/>
    <w:tmpl w:val="4B7BDB74"/>
    <w:lvl w:ilvl="0" w:tentative="0">
      <w:start w:val="2"/>
      <w:numFmt w:val="chineseCounting"/>
      <w:suff w:val="nothing"/>
      <w:lvlText w:val="（%1）"/>
      <w:lvlJc w:val="left"/>
      <w:rPr>
        <w:rFonts w:hint="eastAsia"/>
      </w:rPr>
    </w:lvl>
  </w:abstractNum>
  <w:abstractNum w:abstractNumId="1">
    <w:nsid w:val="4E39BF16"/>
    <w:multiLevelType w:val="singleLevel"/>
    <w:tmpl w:val="4E39BF16"/>
    <w:lvl w:ilvl="0" w:tentative="0">
      <w:start w:val="1"/>
      <w:numFmt w:val="decimal"/>
      <w:suff w:val="nothing"/>
      <w:lvlText w:val="%1）"/>
      <w:lvlJc w:val="left"/>
    </w:lvl>
  </w:abstractNum>
  <w:abstractNum w:abstractNumId="2">
    <w:nsid w:val="54ED7428"/>
    <w:multiLevelType w:val="singleLevel"/>
    <w:tmpl w:val="54ED7428"/>
    <w:lvl w:ilvl="0" w:tentative="0">
      <w:start w:val="1"/>
      <w:numFmt w:val="decimal"/>
      <w:suff w:val="nothing"/>
      <w:lvlText w:val="%1）"/>
      <w:lvlJc w:val="left"/>
    </w:lvl>
  </w:abstractNum>
  <w:abstractNum w:abstractNumId="3">
    <w:nsid w:val="598182D5"/>
    <w:multiLevelType w:val="singleLevel"/>
    <w:tmpl w:val="598182D5"/>
    <w:lvl w:ilvl="0" w:tentative="0">
      <w:start w:val="2"/>
      <w:numFmt w:val="chineseCounting"/>
      <w:suff w:val="nothing"/>
      <w:lvlText w:val="（%1）"/>
      <w:lvlJc w:val="left"/>
    </w:lvl>
  </w:abstractNum>
  <w:abstractNum w:abstractNumId="4">
    <w:nsid w:val="59818318"/>
    <w:multiLevelType w:val="singleLevel"/>
    <w:tmpl w:val="59818318"/>
    <w:lvl w:ilvl="0" w:tentative="0">
      <w:start w:val="1"/>
      <w:numFmt w:val="decimal"/>
      <w:suff w:val="nothing"/>
      <w:lvlText w:val="（%1）"/>
      <w:lvlJc w:val="left"/>
    </w:lvl>
  </w:abstractNum>
  <w:abstractNum w:abstractNumId="5">
    <w:nsid w:val="5981842D"/>
    <w:multiLevelType w:val="singleLevel"/>
    <w:tmpl w:val="5981842D"/>
    <w:lvl w:ilvl="0" w:tentative="0">
      <w:start w:val="3"/>
      <w:numFmt w:val="chineseCounting"/>
      <w:suff w:val="nothing"/>
      <w:lvlText w:val="（%1）"/>
      <w:lvlJc w:val="left"/>
    </w:lvl>
  </w:abstractNum>
  <w:abstractNum w:abstractNumId="6">
    <w:nsid w:val="59818587"/>
    <w:multiLevelType w:val="singleLevel"/>
    <w:tmpl w:val="59818587"/>
    <w:lvl w:ilvl="0" w:tentative="0">
      <w:start w:val="4"/>
      <w:numFmt w:val="decimal"/>
      <w:suff w:val="nothing"/>
      <w:lvlText w:val="（%1）"/>
      <w:lvlJc w:val="left"/>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B409A9"/>
    <w:rsid w:val="00014D03"/>
    <w:rsid w:val="0002351C"/>
    <w:rsid w:val="0005325B"/>
    <w:rsid w:val="000B2B82"/>
    <w:rsid w:val="000D14A0"/>
    <w:rsid w:val="001A60E8"/>
    <w:rsid w:val="001C0FCB"/>
    <w:rsid w:val="00215A7F"/>
    <w:rsid w:val="0025322C"/>
    <w:rsid w:val="00293E05"/>
    <w:rsid w:val="00306AAB"/>
    <w:rsid w:val="003908CE"/>
    <w:rsid w:val="003B2D74"/>
    <w:rsid w:val="003F76FA"/>
    <w:rsid w:val="00403AD0"/>
    <w:rsid w:val="004F1FFD"/>
    <w:rsid w:val="004F60FA"/>
    <w:rsid w:val="00525156"/>
    <w:rsid w:val="00540990"/>
    <w:rsid w:val="005542E7"/>
    <w:rsid w:val="005636F9"/>
    <w:rsid w:val="006D6AF4"/>
    <w:rsid w:val="006D7F19"/>
    <w:rsid w:val="007336DC"/>
    <w:rsid w:val="007B0B86"/>
    <w:rsid w:val="00872730"/>
    <w:rsid w:val="00915947"/>
    <w:rsid w:val="009223BA"/>
    <w:rsid w:val="00933A60"/>
    <w:rsid w:val="00937EB8"/>
    <w:rsid w:val="00A17AC0"/>
    <w:rsid w:val="00B16F56"/>
    <w:rsid w:val="00B409A9"/>
    <w:rsid w:val="00BC443F"/>
    <w:rsid w:val="00BE21C6"/>
    <w:rsid w:val="00C602DD"/>
    <w:rsid w:val="00C86962"/>
    <w:rsid w:val="00CD49AD"/>
    <w:rsid w:val="00D0143C"/>
    <w:rsid w:val="00D51231"/>
    <w:rsid w:val="00DC2A0F"/>
    <w:rsid w:val="00E933DB"/>
    <w:rsid w:val="00F26985"/>
    <w:rsid w:val="00FA1F5A"/>
    <w:rsid w:val="00FD0736"/>
    <w:rsid w:val="00FD697F"/>
    <w:rsid w:val="013356C4"/>
    <w:rsid w:val="29283738"/>
    <w:rsid w:val="2D752771"/>
    <w:rsid w:val="55190AB6"/>
    <w:rsid w:val="61E25476"/>
    <w:rsid w:val="6BFD2641"/>
    <w:rsid w:val="788E7D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line="240" w:lineRule="auto"/>
    </w:pPr>
    <w:rPr>
      <w:sz w:val="18"/>
      <w:szCs w:val="18"/>
    </w:rPr>
  </w:style>
  <w:style w:type="paragraph" w:styleId="3">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5">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8">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9">
    <w:name w:val="列出段落1"/>
    <w:basedOn w:val="1"/>
    <w:qFormat/>
    <w:uiPriority w:val="34"/>
    <w:pPr>
      <w:ind w:firstLine="420" w:firstLineChars="200"/>
    </w:pPr>
  </w:style>
  <w:style w:type="character" w:customStyle="1" w:styleId="10">
    <w:name w:val="批注框文本 Char"/>
    <w:basedOn w:val="7"/>
    <w:link w:val="2"/>
    <w:semiHidden/>
    <w:qFormat/>
    <w:uiPriority w:val="99"/>
    <w:rPr>
      <w:sz w:val="18"/>
      <w:szCs w:val="18"/>
    </w:rPr>
  </w:style>
  <w:style w:type="character" w:customStyle="1" w:styleId="11">
    <w:name w:val="页眉 Char"/>
    <w:basedOn w:val="7"/>
    <w:link w:val="4"/>
    <w:qFormat/>
    <w:uiPriority w:val="99"/>
    <w:rPr>
      <w:sz w:val="18"/>
      <w:szCs w:val="18"/>
    </w:rPr>
  </w:style>
  <w:style w:type="character" w:customStyle="1" w:styleId="12">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F688DA-4B6D-49EB-977E-9FF24CC25241}">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2</Pages>
  <Words>64</Words>
  <Characters>365</Characters>
  <Lines>3</Lines>
  <Paragraphs>1</Paragraphs>
  <TotalTime>2</TotalTime>
  <ScaleCrop>false</ScaleCrop>
  <LinksUpToDate>false</LinksUpToDate>
  <CharactersWithSpaces>428</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2019-03-14T03:07:00Z</dcterms:created>
  <dc:creator>刘菁</dc:creator>
  <cp:lastModifiedBy>Administrator</cp:lastModifiedBy>
  <cp:lastPrinted>2019-03-11T01:47:00Z</cp:lastPrinted>
  <dcterms:modified xsi:type="dcterms:W3CDTF">2019-03-15T02:54:50Z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