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A8E" w:rsidRDefault="001A2669">
      <w:pPr>
        <w:jc w:val="center"/>
        <w:rPr>
          <w:rFonts w:ascii="方正小标宋简体" w:eastAsia="方正小标宋简体" w:hAnsi="仿宋"/>
          <w:sz w:val="44"/>
          <w:szCs w:val="44"/>
        </w:rPr>
      </w:pPr>
      <w:r>
        <w:rPr>
          <w:rFonts w:ascii="方正小标宋简体" w:eastAsia="方正小标宋简体" w:hAnsi="宋体" w:cs="宋体" w:hint="eastAsia"/>
          <w:spacing w:val="-20"/>
          <w:sz w:val="44"/>
          <w:szCs w:val="44"/>
        </w:rPr>
        <w:t>2017年度新罗区城市管理行政执法局决算说</w:t>
      </w:r>
      <w:r>
        <w:rPr>
          <w:rFonts w:ascii="方正小标宋简体" w:eastAsia="方正小标宋简体" w:hAnsi="仿宋" w:hint="eastAsia"/>
          <w:sz w:val="44"/>
          <w:szCs w:val="44"/>
        </w:rPr>
        <w:t>明</w:t>
      </w:r>
    </w:p>
    <w:p w:rsidR="008C4A8E" w:rsidRDefault="008C4A8E">
      <w:pPr>
        <w:spacing w:line="240" w:lineRule="exact"/>
        <w:ind w:firstLineChars="200" w:firstLine="640"/>
        <w:rPr>
          <w:rFonts w:ascii="仿宋" w:eastAsia="仿宋" w:hAnsi="仿宋"/>
          <w:sz w:val="32"/>
          <w:szCs w:val="32"/>
        </w:rPr>
      </w:pPr>
    </w:p>
    <w:p w:rsidR="008C4A8E" w:rsidRDefault="001A2669">
      <w:pPr>
        <w:spacing w:line="600" w:lineRule="exact"/>
        <w:ind w:firstLineChars="200" w:firstLine="640"/>
        <w:rPr>
          <w:rFonts w:ascii="仿宋" w:eastAsia="仿宋" w:hAnsi="仿宋"/>
          <w:sz w:val="32"/>
          <w:szCs w:val="32"/>
        </w:rPr>
      </w:pPr>
      <w:r>
        <w:rPr>
          <w:rFonts w:ascii="仿宋" w:eastAsia="仿宋" w:hAnsi="仿宋" w:hint="eastAsia"/>
          <w:sz w:val="32"/>
          <w:szCs w:val="32"/>
        </w:rPr>
        <w:t>按照《龙岩市新罗区财政局关于批复龙岩市新罗区城市管理行政执法局2017年度部门决算的通知》的要求，现将我单位2017年度部门决算说明如下</w:t>
      </w:r>
      <w:r>
        <w:rPr>
          <w:rFonts w:ascii="仿宋" w:eastAsia="仿宋" w:hAnsi="仿宋"/>
          <w:sz w:val="32"/>
          <w:szCs w:val="32"/>
        </w:rPr>
        <w:t>:</w:t>
      </w:r>
    </w:p>
    <w:p w:rsidR="008C4A8E" w:rsidRDefault="001A2669">
      <w:pPr>
        <w:spacing w:line="600" w:lineRule="exact"/>
        <w:ind w:firstLineChars="200" w:firstLine="640"/>
        <w:rPr>
          <w:rFonts w:ascii="黑体" w:eastAsia="黑体" w:hAnsi="黑体"/>
          <w:sz w:val="32"/>
          <w:szCs w:val="32"/>
        </w:rPr>
      </w:pPr>
      <w:r>
        <w:rPr>
          <w:rFonts w:ascii="黑体" w:eastAsia="黑体" w:hAnsi="黑体" w:hint="eastAsia"/>
          <w:sz w:val="32"/>
          <w:szCs w:val="32"/>
        </w:rPr>
        <w:t>一、部门主要职责</w:t>
      </w:r>
    </w:p>
    <w:p w:rsidR="008C4A8E" w:rsidRDefault="001A2669">
      <w:pPr>
        <w:ind w:firstLine="640"/>
        <w:rPr>
          <w:rFonts w:ascii="仿宋" w:eastAsia="仿宋" w:hAnsi="仿宋"/>
          <w:sz w:val="32"/>
          <w:szCs w:val="32"/>
        </w:rPr>
      </w:pPr>
      <w:r>
        <w:rPr>
          <w:rFonts w:ascii="仿宋_GB2312" w:eastAsia="仿宋_GB2312" w:hAnsi="仿宋" w:hint="eastAsia"/>
          <w:sz w:val="32"/>
          <w:szCs w:val="32"/>
        </w:rPr>
        <w:t>新罗区城市管理行政执法局</w:t>
      </w:r>
      <w:r>
        <w:rPr>
          <w:rFonts w:ascii="仿宋" w:eastAsia="仿宋" w:hAnsi="仿宋" w:hint="eastAsia"/>
          <w:sz w:val="32"/>
          <w:szCs w:val="32"/>
        </w:rPr>
        <w:t>的主要职责是：</w:t>
      </w:r>
    </w:p>
    <w:p w:rsidR="008C4A8E" w:rsidRDefault="001A2669">
      <w:pPr>
        <w:ind w:firstLine="640"/>
        <w:rPr>
          <w:rFonts w:ascii="仿宋" w:eastAsia="仿宋" w:hAnsi="仿宋" w:cs="仿宋_GB2312"/>
          <w:sz w:val="32"/>
          <w:szCs w:val="32"/>
        </w:rPr>
      </w:pPr>
      <w:r>
        <w:rPr>
          <w:rFonts w:ascii="仿宋" w:eastAsia="仿宋" w:hAnsi="仿宋" w:hint="eastAsia"/>
          <w:sz w:val="32"/>
          <w:szCs w:val="32"/>
        </w:rPr>
        <w:t>（一）宣传、贯彻、执行国家、省、市有关城市管理和城乡规划管理方面的法律、法规、规章和规范性文件。</w:t>
      </w:r>
    </w:p>
    <w:p w:rsidR="008C4A8E" w:rsidRDefault="001A2669">
      <w:pPr>
        <w:ind w:firstLine="640"/>
        <w:rPr>
          <w:rFonts w:ascii="仿宋" w:eastAsia="仿宋" w:hAnsi="仿宋" w:cs="仿宋_GB2312"/>
          <w:sz w:val="32"/>
          <w:szCs w:val="32"/>
        </w:rPr>
      </w:pPr>
      <w:r>
        <w:rPr>
          <w:rFonts w:ascii="仿宋" w:eastAsia="仿宋" w:hAnsi="仿宋" w:hint="eastAsia"/>
          <w:sz w:val="32"/>
          <w:szCs w:val="32"/>
        </w:rPr>
        <w:t>（二）负责规划区外户外广告和渣土堆放、核准、调运、处置及无主垃圾、弃土的执法管理。</w:t>
      </w:r>
    </w:p>
    <w:p w:rsidR="008C4A8E" w:rsidRDefault="001A2669">
      <w:pPr>
        <w:ind w:firstLine="640"/>
        <w:rPr>
          <w:rFonts w:ascii="仿宋" w:eastAsia="仿宋" w:hAnsi="仿宋" w:cs="仿宋_GB2312"/>
          <w:sz w:val="32"/>
          <w:szCs w:val="32"/>
        </w:rPr>
      </w:pPr>
      <w:r>
        <w:rPr>
          <w:rFonts w:ascii="仿宋" w:eastAsia="仿宋" w:hAnsi="仿宋" w:hint="eastAsia"/>
          <w:sz w:val="32"/>
          <w:szCs w:val="32"/>
        </w:rPr>
        <w:t>（三）负责中心城市卫生保洁管理。</w:t>
      </w:r>
    </w:p>
    <w:p w:rsidR="008C4A8E" w:rsidRDefault="001A2669">
      <w:pPr>
        <w:ind w:firstLine="640"/>
        <w:rPr>
          <w:rFonts w:ascii="仿宋" w:eastAsia="仿宋" w:hAnsi="仿宋" w:cs="仿宋_GB2312"/>
          <w:sz w:val="32"/>
          <w:szCs w:val="32"/>
        </w:rPr>
      </w:pPr>
      <w:r>
        <w:rPr>
          <w:rFonts w:ascii="仿宋" w:eastAsia="仿宋" w:hAnsi="仿宋" w:hint="eastAsia"/>
          <w:sz w:val="32"/>
          <w:szCs w:val="32"/>
        </w:rPr>
        <w:t>（四）参与对中心城区各镇（街道）城市管理工作的协调、考评工作。</w:t>
      </w:r>
    </w:p>
    <w:p w:rsidR="008C4A8E" w:rsidRDefault="001A2669">
      <w:pPr>
        <w:ind w:firstLine="640"/>
        <w:rPr>
          <w:rFonts w:ascii="仿宋" w:eastAsia="仿宋" w:hAnsi="仿宋" w:cs="仿宋_GB2312"/>
          <w:sz w:val="32"/>
          <w:szCs w:val="32"/>
        </w:rPr>
      </w:pPr>
      <w:r>
        <w:rPr>
          <w:rFonts w:ascii="仿宋" w:eastAsia="仿宋" w:hAnsi="仿宋" w:hint="eastAsia"/>
          <w:sz w:val="32"/>
          <w:szCs w:val="32"/>
        </w:rPr>
        <w:t>（五）对规划区外各乡镇的镇容镇貌管理工作进行指导、协调、监督、考核。</w:t>
      </w:r>
    </w:p>
    <w:p w:rsidR="008C4A8E" w:rsidRDefault="001A2669">
      <w:pPr>
        <w:ind w:firstLine="640"/>
        <w:rPr>
          <w:rFonts w:ascii="仿宋" w:eastAsia="仿宋" w:hAnsi="仿宋" w:cs="仿宋_GB2312"/>
          <w:sz w:val="32"/>
          <w:szCs w:val="32"/>
        </w:rPr>
      </w:pPr>
      <w:r>
        <w:rPr>
          <w:rFonts w:ascii="仿宋" w:eastAsia="仿宋" w:hAnsi="仿宋" w:hint="eastAsia"/>
          <w:sz w:val="32"/>
          <w:szCs w:val="32"/>
        </w:rPr>
        <w:t>（六）承担区城市管理办公室日常工作。</w:t>
      </w:r>
    </w:p>
    <w:p w:rsidR="008C4A8E" w:rsidRDefault="001A2669">
      <w:pPr>
        <w:ind w:firstLine="640"/>
        <w:rPr>
          <w:rFonts w:ascii="仿宋" w:eastAsia="仿宋" w:hAnsi="仿宋" w:cs="仿宋_GB2312"/>
          <w:sz w:val="32"/>
          <w:szCs w:val="32"/>
        </w:rPr>
      </w:pPr>
      <w:r>
        <w:rPr>
          <w:rFonts w:ascii="仿宋" w:eastAsia="仿宋" w:hAnsi="仿宋" w:hint="eastAsia"/>
          <w:sz w:val="32"/>
          <w:szCs w:val="32"/>
        </w:rPr>
        <w:t>（七）履行市、区人民政府决定调整的城市管理领域的其他行政处罚权。</w:t>
      </w:r>
    </w:p>
    <w:p w:rsidR="008C4A8E" w:rsidRDefault="001A2669">
      <w:pPr>
        <w:ind w:firstLine="640"/>
        <w:rPr>
          <w:rFonts w:ascii="仿宋_GB2312" w:eastAsia="仿宋_GB2312" w:hAnsi="仿宋" w:cs="Times New Roman"/>
          <w:sz w:val="32"/>
          <w:szCs w:val="32"/>
        </w:rPr>
      </w:pPr>
      <w:r>
        <w:rPr>
          <w:rFonts w:ascii="仿宋" w:eastAsia="仿宋" w:hAnsi="仿宋" w:hint="eastAsia"/>
          <w:sz w:val="32"/>
          <w:szCs w:val="32"/>
        </w:rPr>
        <w:t>（八）完成市委、市政府和区委、区政府交办的其他事项。</w:t>
      </w:r>
    </w:p>
    <w:p w:rsidR="008C4A8E" w:rsidRDefault="001A2669">
      <w:pPr>
        <w:spacing w:line="600" w:lineRule="exact"/>
        <w:ind w:firstLineChars="200" w:firstLine="640"/>
        <w:rPr>
          <w:rFonts w:ascii="黑体" w:eastAsia="黑体" w:hAnsi="黑体"/>
          <w:sz w:val="32"/>
          <w:szCs w:val="32"/>
        </w:rPr>
      </w:pPr>
      <w:r>
        <w:rPr>
          <w:rFonts w:ascii="黑体" w:eastAsia="黑体" w:hAnsi="黑体" w:hint="eastAsia"/>
          <w:sz w:val="32"/>
          <w:szCs w:val="32"/>
        </w:rPr>
        <w:t>二、部门决算单位基本情况</w:t>
      </w:r>
    </w:p>
    <w:p w:rsidR="008C4A8E" w:rsidRDefault="001A2669">
      <w:pPr>
        <w:tabs>
          <w:tab w:val="left" w:pos="7513"/>
        </w:tabs>
        <w:adjustRightInd w:val="0"/>
        <w:snapToGrid w:val="0"/>
        <w:spacing w:line="600" w:lineRule="exact"/>
        <w:ind w:firstLineChars="200" w:firstLine="640"/>
        <w:rPr>
          <w:rFonts w:ascii="仿宋" w:eastAsia="仿宋" w:hAnsi="仿宋" w:cs="Times New Roman"/>
          <w:sz w:val="32"/>
          <w:szCs w:val="32"/>
        </w:rPr>
      </w:pPr>
      <w:r>
        <w:rPr>
          <w:rFonts w:ascii="仿宋" w:eastAsia="仿宋" w:hAnsi="仿宋" w:cs="仿宋_GB2312" w:hint="eastAsia"/>
          <w:sz w:val="32"/>
          <w:szCs w:val="32"/>
        </w:rPr>
        <w:lastRenderedPageBreak/>
        <w:t>从决算单位构成看，</w:t>
      </w:r>
      <w:r>
        <w:rPr>
          <w:rFonts w:ascii="仿宋" w:eastAsia="仿宋" w:hAnsi="仿宋" w:hint="eastAsia"/>
          <w:sz w:val="32"/>
          <w:szCs w:val="32"/>
        </w:rPr>
        <w:t>新罗区城市管理行政执法局包括</w:t>
      </w:r>
      <w:r>
        <w:rPr>
          <w:rFonts w:ascii="仿宋" w:eastAsia="仿宋" w:hAnsi="仿宋" w:cs="仿宋_GB2312" w:hint="eastAsia"/>
          <w:sz w:val="32"/>
          <w:szCs w:val="32"/>
        </w:rPr>
        <w:t>4</w:t>
      </w:r>
      <w:r>
        <w:rPr>
          <w:rFonts w:ascii="仿宋" w:eastAsia="仿宋" w:hAnsi="仿宋" w:hint="eastAsia"/>
          <w:sz w:val="32"/>
          <w:szCs w:val="32"/>
        </w:rPr>
        <w:t>个机关行政股室及</w:t>
      </w:r>
      <w:r>
        <w:rPr>
          <w:rFonts w:ascii="仿宋" w:eastAsia="仿宋" w:hAnsi="仿宋" w:cs="仿宋_GB2312" w:hint="eastAsia"/>
          <w:sz w:val="32"/>
          <w:szCs w:val="32"/>
        </w:rPr>
        <w:t>2</w:t>
      </w:r>
      <w:r>
        <w:rPr>
          <w:rFonts w:ascii="仿宋" w:eastAsia="仿宋" w:hAnsi="仿宋" w:hint="eastAsia"/>
          <w:sz w:val="32"/>
          <w:szCs w:val="32"/>
        </w:rPr>
        <w:t>个下属单位，其中：列入</w:t>
      </w:r>
      <w:r>
        <w:rPr>
          <w:rFonts w:ascii="仿宋" w:eastAsia="仿宋" w:hAnsi="仿宋" w:cs="仿宋_GB2312" w:hint="eastAsia"/>
          <w:sz w:val="32"/>
          <w:szCs w:val="32"/>
        </w:rPr>
        <w:t>2017</w:t>
      </w:r>
      <w:r>
        <w:rPr>
          <w:rFonts w:ascii="仿宋" w:eastAsia="仿宋" w:hAnsi="仿宋" w:hint="eastAsia"/>
          <w:sz w:val="32"/>
          <w:szCs w:val="32"/>
        </w:rPr>
        <w:t>年部门决算编制范围的单位详细情况见下表</w:t>
      </w:r>
      <w:r>
        <w:rPr>
          <w:rFonts w:ascii="仿宋" w:eastAsia="仿宋" w:hAnsi="仿宋"/>
          <w:sz w:val="32"/>
          <w:szCs w:val="32"/>
        </w:rPr>
        <w:t>:</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130"/>
        <w:gridCol w:w="2131"/>
        <w:gridCol w:w="2131"/>
      </w:tblGrid>
      <w:tr w:rsidR="008C4A8E">
        <w:trPr>
          <w:trHeight w:val="664"/>
          <w:jc w:val="center"/>
        </w:trPr>
        <w:tc>
          <w:tcPr>
            <w:tcW w:w="2130" w:type="dxa"/>
            <w:tcBorders>
              <w:top w:val="single" w:sz="4" w:space="0" w:color="auto"/>
              <w:left w:val="single" w:sz="4" w:space="0" w:color="auto"/>
              <w:bottom w:val="single" w:sz="4" w:space="0" w:color="auto"/>
              <w:right w:val="single" w:sz="4" w:space="0" w:color="auto"/>
            </w:tcBorders>
            <w:vAlign w:val="center"/>
          </w:tcPr>
          <w:p w:rsidR="008C4A8E" w:rsidRDefault="001A2669">
            <w:pPr>
              <w:spacing w:line="600" w:lineRule="exact"/>
              <w:jc w:val="center"/>
              <w:rPr>
                <w:rFonts w:ascii="仿宋" w:eastAsia="仿宋" w:hAnsi="仿宋" w:cs="仿宋_GB2312"/>
                <w:sz w:val="32"/>
                <w:szCs w:val="32"/>
              </w:rPr>
            </w:pPr>
            <w:r>
              <w:rPr>
                <w:rFonts w:ascii="仿宋" w:eastAsia="仿宋" w:hAnsi="仿宋" w:cs="仿宋_GB2312" w:hint="eastAsia"/>
                <w:sz w:val="32"/>
                <w:szCs w:val="32"/>
              </w:rPr>
              <w:t>单位名称</w:t>
            </w:r>
          </w:p>
        </w:tc>
        <w:tc>
          <w:tcPr>
            <w:tcW w:w="2130" w:type="dxa"/>
            <w:tcBorders>
              <w:top w:val="single" w:sz="4" w:space="0" w:color="auto"/>
              <w:left w:val="single" w:sz="4" w:space="0" w:color="auto"/>
              <w:bottom w:val="single" w:sz="4" w:space="0" w:color="auto"/>
              <w:right w:val="single" w:sz="4" w:space="0" w:color="auto"/>
            </w:tcBorders>
            <w:vAlign w:val="center"/>
          </w:tcPr>
          <w:p w:rsidR="008C4A8E" w:rsidRDefault="001A2669">
            <w:pPr>
              <w:spacing w:line="600" w:lineRule="exact"/>
              <w:jc w:val="center"/>
              <w:rPr>
                <w:rFonts w:ascii="仿宋" w:eastAsia="仿宋" w:hAnsi="仿宋" w:cs="仿宋_GB2312"/>
                <w:sz w:val="32"/>
                <w:szCs w:val="32"/>
              </w:rPr>
            </w:pPr>
            <w:r>
              <w:rPr>
                <w:rFonts w:ascii="仿宋" w:eastAsia="仿宋" w:hAnsi="仿宋" w:cs="仿宋_GB2312" w:hint="eastAsia"/>
                <w:sz w:val="32"/>
                <w:szCs w:val="32"/>
              </w:rPr>
              <w:t>经费性质</w:t>
            </w:r>
          </w:p>
        </w:tc>
        <w:tc>
          <w:tcPr>
            <w:tcW w:w="2131" w:type="dxa"/>
            <w:tcBorders>
              <w:top w:val="single" w:sz="4" w:space="0" w:color="auto"/>
              <w:left w:val="single" w:sz="4" w:space="0" w:color="auto"/>
              <w:bottom w:val="single" w:sz="4" w:space="0" w:color="auto"/>
              <w:right w:val="single" w:sz="4" w:space="0" w:color="auto"/>
            </w:tcBorders>
            <w:vAlign w:val="center"/>
          </w:tcPr>
          <w:p w:rsidR="008C4A8E" w:rsidRDefault="001A2669">
            <w:pPr>
              <w:spacing w:line="600" w:lineRule="exact"/>
              <w:jc w:val="center"/>
              <w:rPr>
                <w:rFonts w:ascii="仿宋" w:eastAsia="仿宋" w:hAnsi="仿宋" w:cs="仿宋_GB2312"/>
                <w:sz w:val="32"/>
                <w:szCs w:val="32"/>
              </w:rPr>
            </w:pPr>
            <w:r>
              <w:rPr>
                <w:rFonts w:ascii="仿宋" w:eastAsia="仿宋" w:hAnsi="仿宋" w:cs="仿宋_GB2312" w:hint="eastAsia"/>
                <w:sz w:val="32"/>
                <w:szCs w:val="32"/>
              </w:rPr>
              <w:t>人员编制数</w:t>
            </w:r>
          </w:p>
        </w:tc>
        <w:tc>
          <w:tcPr>
            <w:tcW w:w="2131" w:type="dxa"/>
            <w:tcBorders>
              <w:top w:val="single" w:sz="4" w:space="0" w:color="auto"/>
              <w:left w:val="single" w:sz="4" w:space="0" w:color="auto"/>
              <w:bottom w:val="single" w:sz="4" w:space="0" w:color="auto"/>
              <w:right w:val="single" w:sz="4" w:space="0" w:color="auto"/>
            </w:tcBorders>
            <w:vAlign w:val="center"/>
          </w:tcPr>
          <w:p w:rsidR="008C4A8E" w:rsidRDefault="001A2669">
            <w:pPr>
              <w:spacing w:line="600" w:lineRule="exact"/>
              <w:jc w:val="center"/>
              <w:rPr>
                <w:rFonts w:ascii="仿宋" w:eastAsia="仿宋" w:hAnsi="仿宋" w:cs="仿宋_GB2312"/>
                <w:sz w:val="32"/>
                <w:szCs w:val="32"/>
              </w:rPr>
            </w:pPr>
            <w:r>
              <w:rPr>
                <w:rFonts w:ascii="仿宋" w:eastAsia="仿宋" w:hAnsi="仿宋" w:cs="仿宋_GB2312" w:hint="eastAsia"/>
                <w:sz w:val="32"/>
                <w:szCs w:val="32"/>
              </w:rPr>
              <w:t>在职人数</w:t>
            </w:r>
          </w:p>
        </w:tc>
      </w:tr>
      <w:tr w:rsidR="008C4A8E">
        <w:trPr>
          <w:jc w:val="center"/>
        </w:trPr>
        <w:tc>
          <w:tcPr>
            <w:tcW w:w="2130" w:type="dxa"/>
            <w:tcBorders>
              <w:top w:val="single" w:sz="4" w:space="0" w:color="auto"/>
              <w:left w:val="single" w:sz="4" w:space="0" w:color="auto"/>
              <w:bottom w:val="single" w:sz="4" w:space="0" w:color="auto"/>
              <w:right w:val="single" w:sz="4" w:space="0" w:color="auto"/>
            </w:tcBorders>
          </w:tcPr>
          <w:p w:rsidR="008C4A8E" w:rsidRDefault="001A2669">
            <w:pPr>
              <w:tabs>
                <w:tab w:val="left" w:pos="7513"/>
              </w:tabs>
              <w:adjustRightInd w:val="0"/>
              <w:snapToGrid w:val="0"/>
              <w:spacing w:line="600" w:lineRule="exact"/>
              <w:jc w:val="center"/>
              <w:rPr>
                <w:rFonts w:ascii="仿宋" w:eastAsia="仿宋" w:hAnsi="仿宋" w:cs="Times New Roman"/>
                <w:b/>
                <w:bCs/>
                <w:sz w:val="32"/>
                <w:szCs w:val="32"/>
              </w:rPr>
            </w:pPr>
            <w:r>
              <w:rPr>
                <w:rFonts w:ascii="仿宋" w:eastAsia="仿宋" w:hAnsi="仿宋" w:hint="eastAsia"/>
                <w:b/>
                <w:bCs/>
                <w:sz w:val="30"/>
                <w:szCs w:val="30"/>
              </w:rPr>
              <w:t>新罗区执法局</w:t>
            </w:r>
          </w:p>
        </w:tc>
        <w:tc>
          <w:tcPr>
            <w:tcW w:w="2130" w:type="dxa"/>
            <w:tcBorders>
              <w:top w:val="single" w:sz="4" w:space="0" w:color="auto"/>
              <w:left w:val="single" w:sz="4" w:space="0" w:color="auto"/>
              <w:bottom w:val="single" w:sz="4" w:space="0" w:color="auto"/>
              <w:right w:val="single" w:sz="4" w:space="0" w:color="auto"/>
            </w:tcBorders>
          </w:tcPr>
          <w:p w:rsidR="008C4A8E" w:rsidRDefault="001A2669">
            <w:pPr>
              <w:tabs>
                <w:tab w:val="left" w:pos="7513"/>
              </w:tabs>
              <w:adjustRightInd w:val="0"/>
              <w:snapToGrid w:val="0"/>
              <w:spacing w:line="600" w:lineRule="exact"/>
              <w:jc w:val="center"/>
              <w:rPr>
                <w:rFonts w:ascii="仿宋" w:eastAsia="仿宋" w:hAnsi="仿宋" w:cs="Times New Roman"/>
                <w:b/>
                <w:bCs/>
                <w:sz w:val="32"/>
                <w:szCs w:val="32"/>
              </w:rPr>
            </w:pPr>
            <w:r>
              <w:rPr>
                <w:rFonts w:ascii="仿宋" w:eastAsia="仿宋" w:hAnsi="仿宋" w:hint="eastAsia"/>
                <w:b/>
                <w:bCs/>
                <w:sz w:val="32"/>
                <w:szCs w:val="32"/>
              </w:rPr>
              <w:t>财政拨款</w:t>
            </w:r>
          </w:p>
        </w:tc>
        <w:tc>
          <w:tcPr>
            <w:tcW w:w="2131" w:type="dxa"/>
            <w:tcBorders>
              <w:top w:val="single" w:sz="4" w:space="0" w:color="auto"/>
              <w:left w:val="single" w:sz="4" w:space="0" w:color="auto"/>
              <w:bottom w:val="single" w:sz="4" w:space="0" w:color="auto"/>
              <w:right w:val="single" w:sz="4" w:space="0" w:color="auto"/>
            </w:tcBorders>
          </w:tcPr>
          <w:p w:rsidR="008C4A8E" w:rsidRDefault="001A2669">
            <w:pPr>
              <w:tabs>
                <w:tab w:val="left" w:pos="7513"/>
              </w:tabs>
              <w:adjustRightInd w:val="0"/>
              <w:snapToGrid w:val="0"/>
              <w:spacing w:line="600" w:lineRule="exact"/>
              <w:jc w:val="center"/>
              <w:rPr>
                <w:rFonts w:ascii="仿宋" w:eastAsia="仿宋" w:hAnsi="仿宋" w:cs="Times New Roman"/>
                <w:b/>
                <w:bCs/>
                <w:sz w:val="32"/>
                <w:szCs w:val="32"/>
              </w:rPr>
            </w:pPr>
            <w:r>
              <w:rPr>
                <w:rFonts w:ascii="仿宋" w:eastAsia="仿宋" w:hAnsi="仿宋" w:cs="Times New Roman"/>
                <w:b/>
                <w:bCs/>
                <w:sz w:val="32"/>
                <w:szCs w:val="32"/>
              </w:rPr>
              <w:t>4</w:t>
            </w:r>
          </w:p>
        </w:tc>
        <w:tc>
          <w:tcPr>
            <w:tcW w:w="2131" w:type="dxa"/>
            <w:tcBorders>
              <w:top w:val="single" w:sz="4" w:space="0" w:color="auto"/>
              <w:left w:val="single" w:sz="4" w:space="0" w:color="auto"/>
              <w:bottom w:val="single" w:sz="4" w:space="0" w:color="auto"/>
              <w:right w:val="single" w:sz="4" w:space="0" w:color="auto"/>
            </w:tcBorders>
          </w:tcPr>
          <w:p w:rsidR="008C4A8E" w:rsidRDefault="001A2669">
            <w:pPr>
              <w:tabs>
                <w:tab w:val="left" w:pos="7513"/>
              </w:tabs>
              <w:adjustRightInd w:val="0"/>
              <w:snapToGrid w:val="0"/>
              <w:spacing w:line="600" w:lineRule="exact"/>
              <w:jc w:val="center"/>
              <w:rPr>
                <w:rFonts w:ascii="仿宋" w:eastAsia="仿宋" w:hAnsi="仿宋" w:cs="Times New Roman"/>
                <w:b/>
                <w:bCs/>
                <w:sz w:val="32"/>
                <w:szCs w:val="32"/>
              </w:rPr>
            </w:pPr>
            <w:r>
              <w:rPr>
                <w:rFonts w:ascii="仿宋" w:eastAsia="仿宋" w:hAnsi="仿宋" w:cs="Times New Roman"/>
                <w:b/>
                <w:bCs/>
                <w:sz w:val="32"/>
                <w:szCs w:val="32"/>
              </w:rPr>
              <w:t>3</w:t>
            </w:r>
          </w:p>
        </w:tc>
      </w:tr>
      <w:tr w:rsidR="008C4A8E">
        <w:trPr>
          <w:jc w:val="center"/>
        </w:trPr>
        <w:tc>
          <w:tcPr>
            <w:tcW w:w="2130" w:type="dxa"/>
            <w:tcBorders>
              <w:top w:val="single" w:sz="4" w:space="0" w:color="auto"/>
              <w:left w:val="single" w:sz="4" w:space="0" w:color="auto"/>
              <w:bottom w:val="single" w:sz="4" w:space="0" w:color="auto"/>
              <w:right w:val="single" w:sz="4" w:space="0" w:color="auto"/>
            </w:tcBorders>
          </w:tcPr>
          <w:p w:rsidR="008C4A8E" w:rsidRDefault="001A2669">
            <w:pPr>
              <w:tabs>
                <w:tab w:val="left" w:pos="7513"/>
              </w:tabs>
              <w:adjustRightInd w:val="0"/>
              <w:snapToGrid w:val="0"/>
              <w:spacing w:line="600" w:lineRule="exact"/>
              <w:jc w:val="center"/>
              <w:rPr>
                <w:rFonts w:ascii="仿宋" w:eastAsia="仿宋" w:hAnsi="仿宋" w:cs="Times New Roman"/>
                <w:b/>
                <w:bCs/>
                <w:sz w:val="32"/>
                <w:szCs w:val="32"/>
              </w:rPr>
            </w:pPr>
            <w:r>
              <w:rPr>
                <w:rFonts w:ascii="仿宋" w:eastAsia="仿宋" w:hAnsi="仿宋" w:hint="eastAsia"/>
                <w:b/>
                <w:bCs/>
                <w:sz w:val="30"/>
                <w:szCs w:val="30"/>
              </w:rPr>
              <w:t>综合执法大队</w:t>
            </w:r>
          </w:p>
        </w:tc>
        <w:tc>
          <w:tcPr>
            <w:tcW w:w="2130" w:type="dxa"/>
            <w:tcBorders>
              <w:top w:val="single" w:sz="4" w:space="0" w:color="auto"/>
              <w:left w:val="single" w:sz="4" w:space="0" w:color="auto"/>
              <w:bottom w:val="single" w:sz="4" w:space="0" w:color="auto"/>
              <w:right w:val="single" w:sz="4" w:space="0" w:color="auto"/>
            </w:tcBorders>
          </w:tcPr>
          <w:p w:rsidR="008C4A8E" w:rsidRDefault="001A2669">
            <w:pPr>
              <w:tabs>
                <w:tab w:val="left" w:pos="7513"/>
              </w:tabs>
              <w:adjustRightInd w:val="0"/>
              <w:snapToGrid w:val="0"/>
              <w:spacing w:line="600" w:lineRule="exact"/>
              <w:jc w:val="center"/>
              <w:rPr>
                <w:rFonts w:ascii="仿宋" w:eastAsia="仿宋" w:hAnsi="仿宋" w:cs="Times New Roman"/>
                <w:b/>
                <w:bCs/>
                <w:sz w:val="32"/>
                <w:szCs w:val="32"/>
              </w:rPr>
            </w:pPr>
            <w:r>
              <w:rPr>
                <w:rFonts w:ascii="仿宋" w:eastAsia="仿宋" w:hAnsi="仿宋" w:hint="eastAsia"/>
                <w:b/>
                <w:bCs/>
                <w:sz w:val="32"/>
                <w:szCs w:val="32"/>
              </w:rPr>
              <w:t>财政拨款</w:t>
            </w:r>
          </w:p>
        </w:tc>
        <w:tc>
          <w:tcPr>
            <w:tcW w:w="2131" w:type="dxa"/>
            <w:tcBorders>
              <w:top w:val="single" w:sz="4" w:space="0" w:color="auto"/>
              <w:left w:val="single" w:sz="4" w:space="0" w:color="auto"/>
              <w:bottom w:val="single" w:sz="4" w:space="0" w:color="auto"/>
              <w:right w:val="single" w:sz="4" w:space="0" w:color="auto"/>
            </w:tcBorders>
          </w:tcPr>
          <w:p w:rsidR="008C4A8E" w:rsidRDefault="001A2669">
            <w:pPr>
              <w:tabs>
                <w:tab w:val="left" w:pos="7513"/>
              </w:tabs>
              <w:adjustRightInd w:val="0"/>
              <w:snapToGrid w:val="0"/>
              <w:spacing w:line="600" w:lineRule="exact"/>
              <w:jc w:val="center"/>
              <w:rPr>
                <w:rFonts w:ascii="仿宋" w:eastAsia="仿宋" w:hAnsi="仿宋" w:cs="Times New Roman"/>
                <w:b/>
                <w:bCs/>
                <w:sz w:val="32"/>
                <w:szCs w:val="32"/>
              </w:rPr>
            </w:pPr>
            <w:r>
              <w:rPr>
                <w:rFonts w:ascii="仿宋" w:eastAsia="仿宋" w:hAnsi="仿宋" w:cs="Times New Roman"/>
                <w:b/>
                <w:bCs/>
                <w:sz w:val="32"/>
                <w:szCs w:val="32"/>
              </w:rPr>
              <w:t>49</w:t>
            </w:r>
          </w:p>
        </w:tc>
        <w:tc>
          <w:tcPr>
            <w:tcW w:w="2131" w:type="dxa"/>
            <w:tcBorders>
              <w:top w:val="single" w:sz="4" w:space="0" w:color="auto"/>
              <w:left w:val="single" w:sz="4" w:space="0" w:color="auto"/>
              <w:bottom w:val="single" w:sz="4" w:space="0" w:color="auto"/>
              <w:right w:val="single" w:sz="4" w:space="0" w:color="auto"/>
            </w:tcBorders>
          </w:tcPr>
          <w:p w:rsidR="008C4A8E" w:rsidRDefault="001A2669">
            <w:pPr>
              <w:tabs>
                <w:tab w:val="left" w:pos="7513"/>
              </w:tabs>
              <w:adjustRightInd w:val="0"/>
              <w:snapToGrid w:val="0"/>
              <w:spacing w:line="600" w:lineRule="exact"/>
              <w:jc w:val="center"/>
              <w:rPr>
                <w:rFonts w:ascii="仿宋" w:eastAsia="仿宋" w:hAnsi="仿宋" w:cs="Times New Roman"/>
                <w:b/>
                <w:bCs/>
                <w:sz w:val="32"/>
                <w:szCs w:val="32"/>
              </w:rPr>
            </w:pPr>
            <w:r>
              <w:rPr>
                <w:rFonts w:ascii="仿宋" w:eastAsia="仿宋" w:hAnsi="仿宋" w:cs="Times New Roman"/>
                <w:b/>
                <w:bCs/>
                <w:sz w:val="32"/>
                <w:szCs w:val="32"/>
              </w:rPr>
              <w:t>27</w:t>
            </w:r>
          </w:p>
        </w:tc>
      </w:tr>
      <w:tr w:rsidR="008C4A8E">
        <w:trPr>
          <w:jc w:val="center"/>
        </w:trPr>
        <w:tc>
          <w:tcPr>
            <w:tcW w:w="2130" w:type="dxa"/>
            <w:tcBorders>
              <w:top w:val="single" w:sz="4" w:space="0" w:color="auto"/>
              <w:left w:val="single" w:sz="4" w:space="0" w:color="auto"/>
              <w:bottom w:val="single" w:sz="4" w:space="0" w:color="auto"/>
              <w:right w:val="single" w:sz="4" w:space="0" w:color="auto"/>
            </w:tcBorders>
          </w:tcPr>
          <w:p w:rsidR="008C4A8E" w:rsidRDefault="001A2669">
            <w:pPr>
              <w:tabs>
                <w:tab w:val="left" w:pos="7513"/>
              </w:tabs>
              <w:adjustRightInd w:val="0"/>
              <w:snapToGrid w:val="0"/>
              <w:spacing w:line="600" w:lineRule="exact"/>
              <w:jc w:val="center"/>
              <w:rPr>
                <w:rFonts w:ascii="仿宋" w:eastAsia="仿宋" w:hAnsi="仿宋" w:cs="Times New Roman"/>
                <w:b/>
                <w:bCs/>
                <w:sz w:val="32"/>
                <w:szCs w:val="32"/>
              </w:rPr>
            </w:pPr>
            <w:r>
              <w:rPr>
                <w:rFonts w:ascii="仿宋" w:eastAsia="仿宋" w:hAnsi="仿宋" w:hint="eastAsia"/>
                <w:b/>
                <w:bCs/>
                <w:sz w:val="30"/>
                <w:szCs w:val="30"/>
              </w:rPr>
              <w:t>环卫管理中心</w:t>
            </w:r>
          </w:p>
        </w:tc>
        <w:tc>
          <w:tcPr>
            <w:tcW w:w="2130" w:type="dxa"/>
            <w:tcBorders>
              <w:top w:val="single" w:sz="4" w:space="0" w:color="auto"/>
              <w:left w:val="single" w:sz="4" w:space="0" w:color="auto"/>
              <w:bottom w:val="single" w:sz="4" w:space="0" w:color="auto"/>
              <w:right w:val="single" w:sz="4" w:space="0" w:color="auto"/>
            </w:tcBorders>
          </w:tcPr>
          <w:p w:rsidR="008C4A8E" w:rsidRDefault="001A2669">
            <w:pPr>
              <w:tabs>
                <w:tab w:val="left" w:pos="7513"/>
              </w:tabs>
              <w:adjustRightInd w:val="0"/>
              <w:snapToGrid w:val="0"/>
              <w:spacing w:line="600" w:lineRule="exact"/>
              <w:jc w:val="center"/>
              <w:rPr>
                <w:rFonts w:ascii="仿宋" w:eastAsia="仿宋" w:hAnsi="仿宋" w:cs="Times New Roman"/>
                <w:b/>
                <w:bCs/>
                <w:sz w:val="32"/>
                <w:szCs w:val="32"/>
              </w:rPr>
            </w:pPr>
            <w:r>
              <w:rPr>
                <w:rFonts w:ascii="仿宋" w:eastAsia="仿宋" w:hAnsi="仿宋" w:hint="eastAsia"/>
                <w:b/>
                <w:bCs/>
                <w:sz w:val="32"/>
                <w:szCs w:val="32"/>
              </w:rPr>
              <w:t>财政拨款</w:t>
            </w:r>
          </w:p>
        </w:tc>
        <w:tc>
          <w:tcPr>
            <w:tcW w:w="2131" w:type="dxa"/>
            <w:tcBorders>
              <w:top w:val="single" w:sz="4" w:space="0" w:color="auto"/>
              <w:left w:val="single" w:sz="4" w:space="0" w:color="auto"/>
              <w:bottom w:val="single" w:sz="4" w:space="0" w:color="auto"/>
              <w:right w:val="single" w:sz="4" w:space="0" w:color="auto"/>
            </w:tcBorders>
          </w:tcPr>
          <w:p w:rsidR="008C4A8E" w:rsidRDefault="001A2669">
            <w:pPr>
              <w:tabs>
                <w:tab w:val="left" w:pos="7513"/>
              </w:tabs>
              <w:adjustRightInd w:val="0"/>
              <w:snapToGrid w:val="0"/>
              <w:spacing w:line="600" w:lineRule="exact"/>
              <w:jc w:val="center"/>
              <w:rPr>
                <w:rFonts w:ascii="仿宋" w:eastAsia="仿宋" w:hAnsi="仿宋" w:cs="Times New Roman"/>
                <w:b/>
                <w:bCs/>
                <w:sz w:val="32"/>
                <w:szCs w:val="32"/>
              </w:rPr>
            </w:pPr>
            <w:r>
              <w:rPr>
                <w:rFonts w:ascii="仿宋" w:eastAsia="仿宋" w:hAnsi="仿宋" w:cs="Times New Roman"/>
                <w:b/>
                <w:bCs/>
                <w:sz w:val="32"/>
                <w:szCs w:val="32"/>
              </w:rPr>
              <w:t>17</w:t>
            </w:r>
          </w:p>
        </w:tc>
        <w:tc>
          <w:tcPr>
            <w:tcW w:w="2131" w:type="dxa"/>
            <w:tcBorders>
              <w:top w:val="single" w:sz="4" w:space="0" w:color="auto"/>
              <w:left w:val="single" w:sz="4" w:space="0" w:color="auto"/>
              <w:bottom w:val="single" w:sz="4" w:space="0" w:color="auto"/>
              <w:right w:val="single" w:sz="4" w:space="0" w:color="auto"/>
            </w:tcBorders>
          </w:tcPr>
          <w:p w:rsidR="008C4A8E" w:rsidRDefault="001A2669">
            <w:pPr>
              <w:tabs>
                <w:tab w:val="left" w:pos="7513"/>
              </w:tabs>
              <w:adjustRightInd w:val="0"/>
              <w:snapToGrid w:val="0"/>
              <w:spacing w:line="600" w:lineRule="exact"/>
              <w:jc w:val="center"/>
              <w:rPr>
                <w:rFonts w:ascii="仿宋" w:eastAsia="仿宋" w:hAnsi="仿宋" w:cs="Times New Roman"/>
                <w:b/>
                <w:bCs/>
                <w:sz w:val="32"/>
                <w:szCs w:val="32"/>
              </w:rPr>
            </w:pPr>
            <w:r>
              <w:rPr>
                <w:rFonts w:ascii="仿宋" w:eastAsia="仿宋" w:hAnsi="仿宋" w:cs="Times New Roman"/>
                <w:b/>
                <w:bCs/>
                <w:sz w:val="32"/>
                <w:szCs w:val="32"/>
              </w:rPr>
              <w:t>17</w:t>
            </w:r>
          </w:p>
        </w:tc>
      </w:tr>
    </w:tbl>
    <w:p w:rsidR="008C4A8E" w:rsidRDefault="008C4A8E">
      <w:pPr>
        <w:spacing w:line="600" w:lineRule="exact"/>
        <w:ind w:firstLineChars="200" w:firstLine="640"/>
        <w:rPr>
          <w:rFonts w:ascii="仿宋" w:eastAsia="仿宋" w:hAnsi="仿宋"/>
          <w:sz w:val="32"/>
          <w:szCs w:val="32"/>
        </w:rPr>
      </w:pPr>
    </w:p>
    <w:p w:rsidR="008C4A8E" w:rsidRDefault="001A2669">
      <w:pPr>
        <w:spacing w:line="600" w:lineRule="exact"/>
        <w:ind w:firstLineChars="200" w:firstLine="640"/>
        <w:rPr>
          <w:rFonts w:ascii="黑体" w:eastAsia="黑体" w:hAnsi="黑体"/>
          <w:sz w:val="32"/>
          <w:szCs w:val="32"/>
        </w:rPr>
      </w:pPr>
      <w:r>
        <w:rPr>
          <w:rFonts w:ascii="黑体" w:eastAsia="黑体" w:hAnsi="黑体" w:hint="eastAsia"/>
          <w:sz w:val="32"/>
          <w:szCs w:val="32"/>
        </w:rPr>
        <w:t>三、部门主要工作总结</w:t>
      </w:r>
    </w:p>
    <w:p w:rsidR="008C4A8E" w:rsidRDefault="001A2669">
      <w:pPr>
        <w:spacing w:line="600" w:lineRule="exact"/>
        <w:ind w:firstLineChars="200" w:firstLine="640"/>
        <w:rPr>
          <w:rFonts w:ascii="仿宋" w:eastAsia="仿宋" w:hAnsi="仿宋"/>
          <w:sz w:val="32"/>
          <w:szCs w:val="32"/>
        </w:rPr>
      </w:pPr>
      <w:r>
        <w:rPr>
          <w:rFonts w:ascii="仿宋" w:eastAsia="仿宋" w:hAnsi="仿宋" w:hint="eastAsia"/>
          <w:sz w:val="32"/>
          <w:szCs w:val="32"/>
        </w:rPr>
        <w:t>2017年，龙岩市新罗区城市管理行政执法局主要任务是：根据区委、区政府和市局的决策部署，以服务经济社会发展为主线，以创建全国文明城市为目标，以城市管理执法体制改革为契机，通过做好三篇文章，在推进政府重点工作，提升日常履职水平，强化自身队伍建设等方面积极作为。围绕上述任务，重点完成了以下工作：</w:t>
      </w:r>
    </w:p>
    <w:p w:rsidR="008C4A8E" w:rsidRDefault="001A2669">
      <w:pPr>
        <w:spacing w:line="600" w:lineRule="exact"/>
        <w:ind w:firstLineChars="200" w:firstLine="640"/>
        <w:rPr>
          <w:rFonts w:ascii="仿宋" w:eastAsia="仿宋" w:hAnsi="仿宋"/>
          <w:sz w:val="32"/>
          <w:szCs w:val="32"/>
        </w:rPr>
      </w:pPr>
      <w:r>
        <w:rPr>
          <w:rFonts w:ascii="仿宋" w:eastAsia="仿宋" w:hAnsi="仿宋" w:hint="eastAsia"/>
          <w:sz w:val="32"/>
          <w:szCs w:val="32"/>
        </w:rPr>
        <w:t>（一）围绕中心，认真做好“牵头”与“护航”的文章，积极有为推进重点工作。</w:t>
      </w:r>
    </w:p>
    <w:p w:rsidR="008C4A8E" w:rsidRDefault="001A2669">
      <w:pPr>
        <w:spacing w:line="600" w:lineRule="exact"/>
        <w:ind w:firstLineChars="200" w:firstLine="640"/>
        <w:rPr>
          <w:rFonts w:ascii="仿宋_GB2312" w:eastAsia="仿宋_GB2312"/>
          <w:sz w:val="32"/>
          <w:szCs w:val="32"/>
        </w:rPr>
      </w:pPr>
      <w:r>
        <w:rPr>
          <w:rFonts w:ascii="仿宋" w:eastAsia="仿宋" w:hAnsi="仿宋" w:hint="eastAsia"/>
          <w:sz w:val="32"/>
          <w:szCs w:val="32"/>
        </w:rPr>
        <w:t>1、强巡查，重管控，力争新增违法建设“零增长”。2017年来，我们通过加强</w:t>
      </w:r>
      <w:r>
        <w:rPr>
          <w:rFonts w:ascii="仿宋_GB2312" w:eastAsia="仿宋_GB2312" w:hint="eastAsia"/>
          <w:sz w:val="32"/>
          <w:szCs w:val="32"/>
        </w:rPr>
        <w:t>巡查管控力度、加大拆除处置力度、强化督查考核精度，深入推进“两违”综合治理和“无违建”创建工作，相继部署开展了治违“清零行动”、“创城整治攻坚行动”、铁路和公路沿线违法建筑专项整治、水环境整治“百日会战”等专项行动，并建立“互联网+巡控”数字平</w:t>
      </w:r>
      <w:r>
        <w:rPr>
          <w:rFonts w:ascii="仿宋_GB2312" w:eastAsia="仿宋_GB2312" w:hint="eastAsia"/>
          <w:sz w:val="32"/>
          <w:szCs w:val="32"/>
        </w:rPr>
        <w:lastRenderedPageBreak/>
        <w:t>台和“巡控+立即拆”治违勤务模式。</w:t>
      </w:r>
    </w:p>
    <w:p w:rsidR="008C4A8E" w:rsidRDefault="001A2669">
      <w:pPr>
        <w:spacing w:line="600" w:lineRule="exact"/>
        <w:ind w:firstLineChars="200" w:firstLine="640"/>
        <w:rPr>
          <w:rFonts w:ascii="仿宋_GB2312" w:eastAsia="仿宋_GB2312" w:hAnsi="黑体"/>
          <w:sz w:val="32"/>
          <w:szCs w:val="32"/>
        </w:rPr>
      </w:pPr>
      <w:r>
        <w:rPr>
          <w:rFonts w:ascii="仿宋" w:eastAsia="仿宋" w:hAnsi="仿宋" w:hint="eastAsia"/>
          <w:sz w:val="32"/>
          <w:szCs w:val="32"/>
        </w:rPr>
        <w:t>2.拔钉子、促征迁，全力服务中心工作。首先，保障重点项目，结合项目征地拆迁推进需要，</w:t>
      </w:r>
      <w:r>
        <w:rPr>
          <w:rFonts w:ascii="仿宋_GB2312" w:eastAsia="仿宋_GB2312" w:hAnsi="黑体" w:hint="eastAsia"/>
          <w:sz w:val="32"/>
          <w:szCs w:val="32"/>
        </w:rPr>
        <w:t>切实做到“拆违促征迁，征迁促项目”；其次，坚决打击趋利性抢建，以强力拆、零补偿、综合审、实现零容忍；最后加大环保整治力度，结合水环境综合整治“百日会战”，拆除环境污染设施，改善群众生活环境。</w:t>
      </w:r>
    </w:p>
    <w:p w:rsidR="008C4A8E" w:rsidRDefault="001A2669">
      <w:pPr>
        <w:spacing w:line="600" w:lineRule="exact"/>
        <w:ind w:firstLineChars="200" w:firstLine="640"/>
        <w:rPr>
          <w:rFonts w:ascii="仿宋" w:eastAsia="仿宋" w:hAnsi="仿宋"/>
          <w:sz w:val="32"/>
          <w:szCs w:val="32"/>
        </w:rPr>
      </w:pPr>
      <w:r>
        <w:rPr>
          <w:rFonts w:ascii="仿宋" w:eastAsia="仿宋" w:hAnsi="仿宋" w:hint="eastAsia"/>
          <w:sz w:val="32"/>
          <w:szCs w:val="32"/>
        </w:rPr>
        <w:t>3.抓创建，保常态，</w:t>
      </w:r>
      <w:r>
        <w:rPr>
          <w:rFonts w:ascii="仿宋" w:eastAsia="仿宋" w:hAnsi="仿宋"/>
          <w:sz w:val="32"/>
          <w:szCs w:val="32"/>
        </w:rPr>
        <w:t>勇夺全国文明城市</w:t>
      </w:r>
      <w:r>
        <w:rPr>
          <w:rFonts w:ascii="仿宋" w:eastAsia="仿宋" w:hAnsi="仿宋" w:hint="eastAsia"/>
          <w:sz w:val="32"/>
          <w:szCs w:val="32"/>
        </w:rPr>
        <w:t>桂冠。</w:t>
      </w:r>
      <w:r>
        <w:rPr>
          <w:rFonts w:ascii="仿宋_GB2312" w:eastAsia="仿宋_GB2312" w:hint="eastAsia"/>
          <w:sz w:val="32"/>
          <w:szCs w:val="32"/>
        </w:rPr>
        <w:t>我局紧紧围绕区委区、区政府创建全国文明城市中心工作，不忘“创城”初心，全员参与，全力以赴，落细落小，抓实抓常，为“创城”营创整洁有序宜居城市环境，不断增强人民群众的获得感和满意度。</w:t>
      </w:r>
    </w:p>
    <w:p w:rsidR="008C4A8E" w:rsidRDefault="001A2669">
      <w:pPr>
        <w:widowControl/>
        <w:shd w:val="clear" w:color="auto" w:fill="FFFFFF"/>
        <w:spacing w:line="540" w:lineRule="exact"/>
        <w:ind w:firstLine="643"/>
        <w:jc w:val="left"/>
        <w:rPr>
          <w:rFonts w:ascii="仿宋_GB2312" w:eastAsia="仿宋_GB2312"/>
          <w:sz w:val="32"/>
          <w:szCs w:val="32"/>
        </w:rPr>
      </w:pPr>
      <w:r>
        <w:rPr>
          <w:rFonts w:ascii="仿宋" w:eastAsia="仿宋" w:hAnsi="仿宋" w:hint="eastAsia"/>
          <w:sz w:val="32"/>
          <w:szCs w:val="32"/>
        </w:rPr>
        <w:t>（二）</w:t>
      </w:r>
      <w:r>
        <w:rPr>
          <w:rFonts w:ascii="仿宋_GB2312" w:eastAsia="仿宋_GB2312" w:hint="eastAsia"/>
          <w:sz w:val="32"/>
          <w:szCs w:val="32"/>
        </w:rPr>
        <w:t>从严治党，认真做好“党建”与“监督”的文章，凸显为民务实清廉形象。</w:t>
      </w:r>
    </w:p>
    <w:p w:rsidR="008C4A8E" w:rsidRDefault="001A2669">
      <w:pPr>
        <w:widowControl/>
        <w:shd w:val="clear" w:color="auto" w:fill="FFFFFF"/>
        <w:spacing w:line="540" w:lineRule="exact"/>
        <w:ind w:firstLine="643"/>
        <w:jc w:val="left"/>
        <w:rPr>
          <w:rFonts w:ascii="仿宋_GB2312" w:eastAsia="仿宋_GB2312"/>
          <w:sz w:val="32"/>
          <w:szCs w:val="32"/>
        </w:rPr>
      </w:pPr>
      <w:r>
        <w:rPr>
          <w:rFonts w:ascii="仿宋_GB2312" w:eastAsia="仿宋_GB2312" w:hint="eastAsia"/>
          <w:sz w:val="32"/>
          <w:szCs w:val="32"/>
        </w:rPr>
        <w:t>1.扎实推进“两学一做”学习教育活动，深化党内思想政治建设。</w:t>
      </w:r>
    </w:p>
    <w:p w:rsidR="008C4A8E" w:rsidRDefault="001A2669">
      <w:pPr>
        <w:widowControl/>
        <w:shd w:val="clear" w:color="auto" w:fill="FFFFFF"/>
        <w:spacing w:line="540" w:lineRule="exact"/>
        <w:ind w:firstLine="643"/>
        <w:jc w:val="left"/>
        <w:rPr>
          <w:rFonts w:ascii="仿宋_GB2312" w:eastAsia="仿宋_GB2312"/>
          <w:sz w:val="32"/>
          <w:szCs w:val="32"/>
        </w:rPr>
      </w:pPr>
      <w:r>
        <w:rPr>
          <w:rFonts w:ascii="仿宋_GB2312" w:eastAsia="仿宋_GB2312" w:hint="eastAsia"/>
          <w:sz w:val="32"/>
          <w:szCs w:val="32"/>
        </w:rPr>
        <w:t>2.夯实“挺纪在前”理念，强化执纪监督问责。</w:t>
      </w:r>
    </w:p>
    <w:p w:rsidR="008C4A8E" w:rsidRDefault="001A2669">
      <w:pPr>
        <w:widowControl/>
        <w:shd w:val="clear" w:color="auto" w:fill="FFFFFF"/>
        <w:spacing w:line="540" w:lineRule="exact"/>
        <w:ind w:firstLine="643"/>
        <w:jc w:val="left"/>
        <w:rPr>
          <w:rFonts w:ascii="仿宋_GB2312" w:eastAsia="仿宋_GB2312"/>
          <w:sz w:val="32"/>
          <w:szCs w:val="32"/>
        </w:rPr>
      </w:pPr>
      <w:r>
        <w:rPr>
          <w:rFonts w:ascii="仿宋_GB2312" w:eastAsia="仿宋_GB2312" w:hint="eastAsia"/>
          <w:sz w:val="32"/>
          <w:szCs w:val="32"/>
        </w:rPr>
        <w:t>3.坚持执法为民，及时回应群众诉求。</w:t>
      </w:r>
    </w:p>
    <w:p w:rsidR="008C4A8E" w:rsidRDefault="001A2669">
      <w:pPr>
        <w:pStyle w:val="a3"/>
        <w:shd w:val="clear" w:color="auto" w:fill="FFFFFF"/>
        <w:spacing w:before="0" w:beforeAutospacing="0" w:after="0" w:afterAutospacing="0" w:line="540" w:lineRule="exact"/>
        <w:ind w:firstLineChars="200" w:firstLine="640"/>
        <w:rPr>
          <w:rFonts w:ascii="仿宋_GB2312" w:eastAsia="仿宋_GB2312" w:hAnsiTheme="minorHAnsi" w:cstheme="minorBidi"/>
          <w:kern w:val="2"/>
          <w:sz w:val="32"/>
          <w:szCs w:val="32"/>
        </w:rPr>
      </w:pPr>
      <w:r>
        <w:rPr>
          <w:rFonts w:ascii="仿宋_GB2312" w:eastAsia="仿宋_GB2312" w:hAnsiTheme="minorHAnsi" w:hint="eastAsia"/>
          <w:sz w:val="32"/>
          <w:szCs w:val="32"/>
        </w:rPr>
        <w:t>（三）</w:t>
      </w:r>
      <w:r>
        <w:rPr>
          <w:rFonts w:ascii="仿宋_GB2312" w:eastAsia="仿宋_GB2312" w:hAnsiTheme="minorHAnsi" w:cstheme="minorBidi" w:hint="eastAsia"/>
          <w:kern w:val="2"/>
          <w:sz w:val="32"/>
          <w:szCs w:val="32"/>
        </w:rPr>
        <w:t>筑牢基础，认真做好“教育”与“规范”的文章，扎实有效抓好队伍建设。</w:t>
      </w:r>
    </w:p>
    <w:p w:rsidR="008C4A8E" w:rsidRDefault="001A2669">
      <w:pPr>
        <w:pStyle w:val="a3"/>
        <w:shd w:val="clear" w:color="auto" w:fill="FFFFFF"/>
        <w:spacing w:before="0" w:beforeAutospacing="0" w:after="0" w:afterAutospacing="0" w:line="54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1.勤学习、重实践，促进能力提升。</w:t>
      </w:r>
    </w:p>
    <w:p w:rsidR="008C4A8E" w:rsidRDefault="001A2669">
      <w:pPr>
        <w:pStyle w:val="a3"/>
        <w:shd w:val="clear" w:color="auto" w:fill="FFFFFF"/>
        <w:spacing w:before="0" w:beforeAutospacing="0" w:after="0" w:afterAutospacing="0" w:line="54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2.立制度、强督查，促进作风转变。</w:t>
      </w:r>
    </w:p>
    <w:p w:rsidR="008C4A8E" w:rsidRDefault="001A2669">
      <w:pPr>
        <w:pStyle w:val="a3"/>
        <w:shd w:val="clear" w:color="auto" w:fill="FFFFFF"/>
        <w:spacing w:before="0" w:beforeAutospacing="0" w:after="0" w:afterAutospacing="0" w:line="54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3.重宣传，优服务，促进形象提升。</w:t>
      </w:r>
    </w:p>
    <w:p w:rsidR="008C4A8E" w:rsidRDefault="001A2669">
      <w:pPr>
        <w:pStyle w:val="a3"/>
        <w:shd w:val="clear" w:color="auto" w:fill="FFFFFF"/>
        <w:spacing w:before="0" w:beforeAutospacing="0" w:after="0" w:afterAutospacing="0" w:line="540" w:lineRule="exact"/>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4.优装备，强保障，促进执法规范。</w:t>
      </w:r>
    </w:p>
    <w:p w:rsidR="008C4A8E" w:rsidRDefault="001A2669">
      <w:pPr>
        <w:spacing w:line="600" w:lineRule="exact"/>
        <w:ind w:firstLineChars="200" w:firstLine="640"/>
        <w:rPr>
          <w:rFonts w:ascii="黑体" w:eastAsia="黑体" w:hAnsi="黑体"/>
          <w:sz w:val="32"/>
          <w:szCs w:val="32"/>
        </w:rPr>
      </w:pPr>
      <w:r>
        <w:rPr>
          <w:rFonts w:ascii="黑体" w:eastAsia="黑体" w:hAnsi="黑体" w:hint="eastAsia"/>
          <w:sz w:val="32"/>
          <w:szCs w:val="32"/>
        </w:rPr>
        <w:lastRenderedPageBreak/>
        <w:t>四、</w:t>
      </w:r>
      <w:r>
        <w:rPr>
          <w:rFonts w:ascii="仿宋" w:eastAsia="仿宋" w:hAnsi="仿宋" w:hint="eastAsia"/>
          <w:sz w:val="32"/>
          <w:szCs w:val="32"/>
        </w:rPr>
        <w:t>2017</w:t>
      </w:r>
      <w:r>
        <w:rPr>
          <w:rFonts w:ascii="黑体" w:eastAsia="黑体" w:hAnsi="黑体" w:hint="eastAsia"/>
          <w:sz w:val="32"/>
          <w:szCs w:val="32"/>
        </w:rPr>
        <w:t>年决算收支总体情况</w:t>
      </w:r>
    </w:p>
    <w:p w:rsidR="008C4A8E" w:rsidRDefault="001A2669">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hint="eastAsia"/>
          <w:sz w:val="32"/>
          <w:szCs w:val="32"/>
        </w:rPr>
        <w:t>2017</w:t>
      </w:r>
      <w:r>
        <w:rPr>
          <w:rFonts w:ascii="仿宋" w:eastAsia="仿宋" w:hAnsi="仿宋" w:cs="仿宋_GB2312" w:hint="eastAsia"/>
          <w:sz w:val="32"/>
          <w:szCs w:val="32"/>
        </w:rPr>
        <w:t>年</w:t>
      </w:r>
      <w:r>
        <w:rPr>
          <w:rFonts w:ascii="仿宋" w:eastAsia="仿宋" w:hAnsi="仿宋" w:hint="eastAsia"/>
          <w:sz w:val="32"/>
          <w:szCs w:val="32"/>
        </w:rPr>
        <w:t>新罗新罗区城市管理行政执法局</w:t>
      </w:r>
      <w:r>
        <w:rPr>
          <w:rFonts w:ascii="仿宋" w:eastAsia="仿宋" w:hAnsi="仿宋" w:cs="仿宋_GB2312" w:hint="eastAsia"/>
          <w:sz w:val="32"/>
          <w:szCs w:val="32"/>
        </w:rPr>
        <w:t>年初结转和结余831.93万元，本年收入2997.68万元，本年支出2962.47万元，事业基金弥补收支差额0万元，结余分配0万元，年末结转和结余867.15万元。</w:t>
      </w:r>
    </w:p>
    <w:p w:rsidR="008C4A8E" w:rsidRDefault="001A2669">
      <w:pPr>
        <w:autoSpaceDE w:val="0"/>
        <w:autoSpaceDN w:val="0"/>
        <w:adjustRightInd w:val="0"/>
        <w:spacing w:line="600" w:lineRule="exact"/>
        <w:ind w:firstLineChars="200" w:firstLine="640"/>
        <w:rPr>
          <w:rFonts w:ascii="仿宋" w:eastAsia="仿宋" w:hAnsi="仿宋" w:cs="Times New Roman"/>
          <w:sz w:val="32"/>
          <w:szCs w:val="32"/>
        </w:rPr>
      </w:pPr>
      <w:r>
        <w:rPr>
          <w:rFonts w:ascii="仿宋" w:eastAsia="仿宋" w:hAnsi="仿宋" w:cs="仿宋_GB2312" w:hint="eastAsia"/>
          <w:sz w:val="32"/>
          <w:szCs w:val="32"/>
        </w:rPr>
        <w:t>（一）2017年收入2997.68万元，比2016年决算数增加176.18万元，增长6.24％</w:t>
      </w:r>
      <w:r>
        <w:rPr>
          <w:rFonts w:ascii="仿宋" w:eastAsia="仿宋" w:hAnsi="仿宋" w:hint="eastAsia"/>
          <w:sz w:val="32"/>
          <w:szCs w:val="32"/>
        </w:rPr>
        <w:t>，</w:t>
      </w:r>
      <w:r>
        <w:rPr>
          <w:rFonts w:ascii="仿宋" w:eastAsia="仿宋" w:hAnsi="仿宋" w:cs="仿宋_GB2312" w:hint="eastAsia"/>
          <w:sz w:val="32"/>
          <w:szCs w:val="32"/>
        </w:rPr>
        <w:t>具体情况如下：</w:t>
      </w:r>
    </w:p>
    <w:p w:rsidR="008C4A8E" w:rsidRDefault="001A2669">
      <w:pPr>
        <w:autoSpaceDE w:val="0"/>
        <w:autoSpaceDN w:val="0"/>
        <w:adjustRightInd w:val="0"/>
        <w:spacing w:line="600" w:lineRule="exact"/>
        <w:ind w:leftChars="76" w:left="160" w:firstLineChars="150" w:firstLine="480"/>
        <w:rPr>
          <w:rFonts w:ascii="仿宋" w:eastAsia="仿宋" w:hAnsi="仿宋"/>
          <w:sz w:val="32"/>
          <w:szCs w:val="32"/>
        </w:rPr>
      </w:pPr>
      <w:r>
        <w:rPr>
          <w:rFonts w:ascii="仿宋" w:eastAsia="仿宋" w:hAnsi="仿宋" w:cs="仿宋_GB2312"/>
          <w:sz w:val="32"/>
          <w:szCs w:val="32"/>
        </w:rPr>
        <w:t>1.财政拨款收入2930.41万元，其中政府性基金0万元。</w:t>
      </w:r>
    </w:p>
    <w:p w:rsidR="008C4A8E" w:rsidRDefault="001A2669">
      <w:pPr>
        <w:autoSpaceDE w:val="0"/>
        <w:autoSpaceDN w:val="0"/>
        <w:adjustRightInd w:val="0"/>
        <w:spacing w:line="600" w:lineRule="exact"/>
        <w:ind w:firstLineChars="200" w:firstLine="640"/>
        <w:rPr>
          <w:rFonts w:ascii="仿宋" w:eastAsia="仿宋" w:hAnsi="仿宋"/>
          <w:sz w:val="32"/>
          <w:szCs w:val="32"/>
        </w:rPr>
      </w:pPr>
      <w:r>
        <w:rPr>
          <w:rFonts w:ascii="仿宋" w:eastAsia="仿宋" w:hAnsi="仿宋" w:cs="仿宋_GB2312"/>
          <w:sz w:val="32"/>
          <w:szCs w:val="32"/>
        </w:rPr>
        <w:t>2.事业收入</w:t>
      </w:r>
      <w:r>
        <w:rPr>
          <w:rFonts w:ascii="仿宋" w:eastAsia="仿宋" w:hAnsi="仿宋" w:cs="仿宋_GB2312" w:hint="eastAsia"/>
          <w:sz w:val="32"/>
          <w:szCs w:val="32"/>
        </w:rPr>
        <w:t>0万元。</w:t>
      </w:r>
    </w:p>
    <w:p w:rsidR="008C4A8E" w:rsidRDefault="001A2669">
      <w:pPr>
        <w:autoSpaceDE w:val="0"/>
        <w:autoSpaceDN w:val="0"/>
        <w:adjustRightInd w:val="0"/>
        <w:spacing w:line="600" w:lineRule="exact"/>
        <w:ind w:firstLineChars="200" w:firstLine="640"/>
        <w:rPr>
          <w:rFonts w:ascii="仿宋" w:eastAsia="仿宋" w:hAnsi="仿宋"/>
          <w:sz w:val="32"/>
          <w:szCs w:val="32"/>
        </w:rPr>
      </w:pPr>
      <w:r>
        <w:rPr>
          <w:rFonts w:ascii="仿宋" w:eastAsia="仿宋" w:hAnsi="仿宋" w:cs="仿宋_GB2312"/>
          <w:sz w:val="32"/>
          <w:szCs w:val="32"/>
        </w:rPr>
        <w:t>3.经营收入</w:t>
      </w:r>
      <w:r>
        <w:rPr>
          <w:rFonts w:ascii="仿宋" w:eastAsia="仿宋" w:hAnsi="仿宋" w:cs="仿宋_GB2312" w:hint="eastAsia"/>
          <w:sz w:val="32"/>
          <w:szCs w:val="32"/>
        </w:rPr>
        <w:t>0万元。</w:t>
      </w:r>
    </w:p>
    <w:p w:rsidR="008C4A8E" w:rsidRDefault="001A2669">
      <w:pPr>
        <w:autoSpaceDE w:val="0"/>
        <w:autoSpaceDN w:val="0"/>
        <w:adjustRightInd w:val="0"/>
        <w:spacing w:line="600" w:lineRule="exact"/>
        <w:ind w:firstLineChars="200" w:firstLine="640"/>
        <w:rPr>
          <w:rFonts w:ascii="仿宋" w:eastAsia="仿宋" w:hAnsi="仿宋"/>
          <w:sz w:val="32"/>
          <w:szCs w:val="32"/>
        </w:rPr>
      </w:pPr>
      <w:r>
        <w:rPr>
          <w:rFonts w:ascii="仿宋" w:eastAsia="仿宋" w:hAnsi="仿宋" w:cs="仿宋_GB2312"/>
          <w:sz w:val="32"/>
          <w:szCs w:val="32"/>
        </w:rPr>
        <w:t>4.</w:t>
      </w:r>
      <w:r>
        <w:rPr>
          <w:rFonts w:ascii="仿宋" w:eastAsia="仿宋" w:hAnsi="仿宋" w:hint="eastAsia"/>
          <w:sz w:val="32"/>
          <w:szCs w:val="32"/>
        </w:rPr>
        <w:t>上级补助收入</w:t>
      </w:r>
      <w:r>
        <w:rPr>
          <w:rFonts w:ascii="仿宋" w:eastAsia="仿宋" w:hAnsi="仿宋" w:cs="仿宋_GB2312" w:hint="eastAsia"/>
          <w:sz w:val="32"/>
          <w:szCs w:val="32"/>
        </w:rPr>
        <w:t>0</w:t>
      </w:r>
      <w:r>
        <w:rPr>
          <w:rFonts w:ascii="仿宋" w:eastAsia="仿宋" w:hAnsi="仿宋" w:hint="eastAsia"/>
          <w:sz w:val="32"/>
          <w:szCs w:val="32"/>
        </w:rPr>
        <w:t>万元。</w:t>
      </w:r>
    </w:p>
    <w:p w:rsidR="008C4A8E" w:rsidRDefault="001A2669">
      <w:pPr>
        <w:autoSpaceDE w:val="0"/>
        <w:autoSpaceDN w:val="0"/>
        <w:adjustRightInd w:val="0"/>
        <w:spacing w:line="600" w:lineRule="exact"/>
        <w:ind w:firstLineChars="200" w:firstLine="640"/>
        <w:rPr>
          <w:rFonts w:ascii="仿宋" w:eastAsia="仿宋" w:hAnsi="仿宋" w:cs="仿宋_GB2312"/>
          <w:sz w:val="32"/>
          <w:szCs w:val="32"/>
        </w:rPr>
      </w:pPr>
      <w:r>
        <w:rPr>
          <w:rFonts w:ascii="仿宋" w:eastAsia="仿宋" w:hAnsi="仿宋" w:cs="仿宋_GB2312"/>
          <w:sz w:val="32"/>
          <w:szCs w:val="32"/>
        </w:rPr>
        <w:t>5.附属单位上缴收入</w:t>
      </w:r>
      <w:r>
        <w:rPr>
          <w:rFonts w:ascii="仿宋" w:eastAsia="仿宋" w:hAnsi="仿宋" w:cs="仿宋_GB2312" w:hint="eastAsia"/>
          <w:sz w:val="32"/>
          <w:szCs w:val="32"/>
        </w:rPr>
        <w:t>0万元。</w:t>
      </w:r>
    </w:p>
    <w:p w:rsidR="008C4A8E" w:rsidRDefault="001A2669">
      <w:pPr>
        <w:autoSpaceDE w:val="0"/>
        <w:autoSpaceDN w:val="0"/>
        <w:adjustRightInd w:val="0"/>
        <w:spacing w:line="600" w:lineRule="exact"/>
        <w:ind w:firstLineChars="200" w:firstLine="640"/>
        <w:rPr>
          <w:rFonts w:ascii="仿宋" w:eastAsia="仿宋" w:hAnsi="仿宋" w:cs="仿宋_GB2312"/>
          <w:sz w:val="32"/>
          <w:szCs w:val="32"/>
        </w:rPr>
      </w:pPr>
      <w:r>
        <w:rPr>
          <w:rFonts w:ascii="仿宋" w:eastAsia="仿宋" w:hAnsi="仿宋" w:cs="仿宋_GB2312"/>
          <w:sz w:val="32"/>
          <w:szCs w:val="32"/>
        </w:rPr>
        <w:t>6.其他收入</w:t>
      </w:r>
      <w:r>
        <w:rPr>
          <w:rFonts w:ascii="仿宋" w:eastAsia="仿宋" w:hAnsi="仿宋" w:cs="仿宋_GB2312" w:hint="eastAsia"/>
          <w:sz w:val="32"/>
          <w:szCs w:val="32"/>
        </w:rPr>
        <w:t>67.27万元。</w:t>
      </w:r>
    </w:p>
    <w:p w:rsidR="008C4A8E" w:rsidRDefault="001A2669">
      <w:pPr>
        <w:autoSpaceDE w:val="0"/>
        <w:autoSpaceDN w:val="0"/>
        <w:adjustRightInd w:val="0"/>
        <w:spacing w:line="600" w:lineRule="exact"/>
        <w:ind w:firstLineChars="200" w:firstLine="640"/>
        <w:rPr>
          <w:rFonts w:ascii="仿宋" w:eastAsia="仿宋" w:hAnsi="仿宋" w:cs="Times New Roman"/>
          <w:sz w:val="32"/>
          <w:szCs w:val="32"/>
        </w:rPr>
      </w:pPr>
      <w:r>
        <w:rPr>
          <w:rFonts w:ascii="仿宋" w:eastAsia="仿宋" w:hAnsi="仿宋" w:cs="仿宋_GB2312" w:hint="eastAsia"/>
          <w:sz w:val="32"/>
          <w:szCs w:val="32"/>
        </w:rPr>
        <w:t>（二）</w:t>
      </w:r>
      <w:r>
        <w:rPr>
          <w:rFonts w:ascii="仿宋" w:eastAsia="仿宋" w:hAnsi="仿宋" w:hint="eastAsia"/>
          <w:sz w:val="32"/>
          <w:szCs w:val="32"/>
        </w:rPr>
        <w:t>2017</w:t>
      </w:r>
      <w:r>
        <w:rPr>
          <w:rFonts w:ascii="仿宋" w:eastAsia="仿宋" w:hAnsi="仿宋" w:cs="仿宋_GB2312" w:hint="eastAsia"/>
          <w:sz w:val="32"/>
          <w:szCs w:val="32"/>
        </w:rPr>
        <w:t>年支出2962.47万元，比2017年决算数增加209.5万元，增长7.61％</w:t>
      </w:r>
      <w:r>
        <w:rPr>
          <w:rFonts w:ascii="仿宋" w:eastAsia="仿宋" w:hAnsi="仿宋" w:hint="eastAsia"/>
          <w:sz w:val="32"/>
          <w:szCs w:val="32"/>
        </w:rPr>
        <w:t>，</w:t>
      </w:r>
      <w:r>
        <w:rPr>
          <w:rFonts w:ascii="仿宋" w:eastAsia="仿宋" w:hAnsi="仿宋" w:cs="仿宋_GB2312" w:hint="eastAsia"/>
          <w:sz w:val="32"/>
          <w:szCs w:val="32"/>
        </w:rPr>
        <w:t>具体情况如下：</w:t>
      </w:r>
    </w:p>
    <w:p w:rsidR="008C4A8E" w:rsidRDefault="001A2669">
      <w:pPr>
        <w:tabs>
          <w:tab w:val="left" w:pos="7513"/>
        </w:tabs>
        <w:adjustRightInd w:val="0"/>
        <w:snapToGrid w:val="0"/>
        <w:spacing w:line="600" w:lineRule="exact"/>
        <w:ind w:leftChars="113" w:left="237" w:firstLineChars="150" w:firstLine="480"/>
        <w:rPr>
          <w:rFonts w:ascii="仿宋" w:eastAsia="仿宋" w:hAnsi="仿宋"/>
          <w:sz w:val="32"/>
          <w:szCs w:val="32"/>
        </w:rPr>
      </w:pPr>
      <w:r>
        <w:rPr>
          <w:rFonts w:ascii="仿宋" w:eastAsia="仿宋" w:hAnsi="仿宋" w:cs="仿宋_GB2312"/>
          <w:sz w:val="32"/>
          <w:szCs w:val="32"/>
        </w:rPr>
        <w:t>1.</w:t>
      </w:r>
      <w:r>
        <w:rPr>
          <w:rFonts w:ascii="仿宋" w:eastAsia="仿宋" w:hAnsi="仿宋" w:cs="仿宋_GB2312" w:hint="eastAsia"/>
          <w:sz w:val="32"/>
          <w:szCs w:val="32"/>
        </w:rPr>
        <w:t>基本支出933.22万元。其中，人员支出847.99万元，公用支出85.23万元。</w:t>
      </w:r>
    </w:p>
    <w:p w:rsidR="008C4A8E" w:rsidRDefault="001A2669">
      <w:pPr>
        <w:tabs>
          <w:tab w:val="left" w:pos="7513"/>
        </w:tabs>
        <w:adjustRightInd w:val="0"/>
        <w:snapToGrid w:val="0"/>
        <w:spacing w:line="600" w:lineRule="exact"/>
        <w:ind w:leftChars="341" w:left="716"/>
        <w:rPr>
          <w:rFonts w:ascii="仿宋" w:eastAsia="仿宋" w:hAnsi="仿宋"/>
          <w:sz w:val="32"/>
          <w:szCs w:val="32"/>
        </w:rPr>
      </w:pPr>
      <w:r>
        <w:rPr>
          <w:rFonts w:ascii="仿宋" w:eastAsia="仿宋" w:hAnsi="仿宋" w:cs="仿宋_GB2312"/>
          <w:sz w:val="32"/>
          <w:szCs w:val="32"/>
        </w:rPr>
        <w:t>2.</w:t>
      </w:r>
      <w:r>
        <w:rPr>
          <w:rFonts w:ascii="仿宋" w:eastAsia="仿宋" w:hAnsi="仿宋" w:cs="仿宋_GB2312" w:hint="eastAsia"/>
          <w:sz w:val="32"/>
          <w:szCs w:val="32"/>
        </w:rPr>
        <w:t>项目支出2029.24万元。</w:t>
      </w:r>
    </w:p>
    <w:p w:rsidR="008C4A8E" w:rsidRDefault="001A2669">
      <w:pPr>
        <w:tabs>
          <w:tab w:val="left" w:pos="7513"/>
        </w:tabs>
        <w:adjustRightInd w:val="0"/>
        <w:snapToGrid w:val="0"/>
        <w:spacing w:line="600" w:lineRule="exact"/>
        <w:ind w:leftChars="341" w:left="716"/>
        <w:rPr>
          <w:rFonts w:ascii="仿宋" w:eastAsia="仿宋" w:hAnsi="仿宋"/>
          <w:sz w:val="32"/>
          <w:szCs w:val="32"/>
        </w:rPr>
      </w:pPr>
      <w:r>
        <w:rPr>
          <w:rFonts w:ascii="仿宋" w:eastAsia="仿宋" w:hAnsi="仿宋" w:cs="仿宋_GB2312"/>
          <w:sz w:val="32"/>
          <w:szCs w:val="32"/>
        </w:rPr>
        <w:t>3.</w:t>
      </w:r>
      <w:r>
        <w:rPr>
          <w:rFonts w:ascii="仿宋" w:eastAsia="仿宋" w:hAnsi="仿宋" w:cs="仿宋_GB2312" w:hint="eastAsia"/>
          <w:sz w:val="32"/>
          <w:szCs w:val="32"/>
        </w:rPr>
        <w:t>上缴上级支出0万元。</w:t>
      </w:r>
    </w:p>
    <w:p w:rsidR="008C4A8E" w:rsidRDefault="001A2669">
      <w:pPr>
        <w:tabs>
          <w:tab w:val="left" w:pos="7513"/>
        </w:tabs>
        <w:adjustRightInd w:val="0"/>
        <w:snapToGrid w:val="0"/>
        <w:spacing w:line="600" w:lineRule="exact"/>
        <w:ind w:firstLineChars="200" w:firstLine="640"/>
        <w:rPr>
          <w:rFonts w:ascii="仿宋" w:eastAsia="仿宋" w:hAnsi="仿宋"/>
          <w:sz w:val="32"/>
          <w:szCs w:val="32"/>
        </w:rPr>
      </w:pPr>
      <w:r>
        <w:rPr>
          <w:rFonts w:ascii="仿宋" w:eastAsia="仿宋" w:hAnsi="仿宋" w:cs="仿宋_GB2312"/>
          <w:sz w:val="32"/>
          <w:szCs w:val="32"/>
        </w:rPr>
        <w:t>4.</w:t>
      </w:r>
      <w:r>
        <w:rPr>
          <w:rFonts w:ascii="仿宋" w:eastAsia="仿宋" w:hAnsi="仿宋" w:cs="仿宋_GB2312" w:hint="eastAsia"/>
          <w:sz w:val="32"/>
          <w:szCs w:val="32"/>
        </w:rPr>
        <w:t>经营支出0万元。</w:t>
      </w:r>
    </w:p>
    <w:p w:rsidR="008C4A8E" w:rsidRDefault="001A2669">
      <w:pPr>
        <w:spacing w:line="600" w:lineRule="exact"/>
        <w:ind w:firstLineChars="200" w:firstLine="640"/>
        <w:rPr>
          <w:rFonts w:ascii="仿宋" w:eastAsia="仿宋" w:hAnsi="仿宋"/>
          <w:sz w:val="32"/>
          <w:szCs w:val="32"/>
        </w:rPr>
      </w:pPr>
      <w:r>
        <w:rPr>
          <w:rFonts w:ascii="仿宋" w:eastAsia="仿宋" w:hAnsi="仿宋" w:cs="仿宋_GB2312"/>
          <w:sz w:val="32"/>
          <w:szCs w:val="32"/>
        </w:rPr>
        <w:t>5.</w:t>
      </w:r>
      <w:r>
        <w:rPr>
          <w:rFonts w:ascii="仿宋" w:eastAsia="仿宋" w:hAnsi="仿宋" w:cs="仿宋_GB2312" w:hint="eastAsia"/>
          <w:sz w:val="32"/>
          <w:szCs w:val="32"/>
        </w:rPr>
        <w:t>对附属单位补助支出0万元。</w:t>
      </w:r>
    </w:p>
    <w:p w:rsidR="008C4A8E" w:rsidRDefault="001A2669">
      <w:pPr>
        <w:spacing w:line="600" w:lineRule="exact"/>
        <w:ind w:firstLineChars="200" w:firstLine="640"/>
        <w:rPr>
          <w:rFonts w:ascii="黑体" w:eastAsia="黑体" w:hAnsi="黑体"/>
          <w:sz w:val="32"/>
          <w:szCs w:val="32"/>
        </w:rPr>
      </w:pPr>
      <w:r>
        <w:rPr>
          <w:rFonts w:ascii="黑体" w:eastAsia="黑体" w:hAnsi="黑体" w:hint="eastAsia"/>
          <w:sz w:val="32"/>
          <w:szCs w:val="32"/>
        </w:rPr>
        <w:t>五、一般公共预算拨款支出决算情况</w:t>
      </w:r>
    </w:p>
    <w:p w:rsidR="008C4A8E" w:rsidRDefault="001A2669">
      <w:pPr>
        <w:spacing w:line="600" w:lineRule="exact"/>
        <w:ind w:firstLineChars="200" w:firstLine="640"/>
        <w:rPr>
          <w:rFonts w:ascii="仿宋" w:eastAsia="仿宋" w:hAnsi="仿宋"/>
          <w:sz w:val="32"/>
          <w:szCs w:val="32"/>
        </w:rPr>
      </w:pPr>
      <w:r>
        <w:rPr>
          <w:rFonts w:ascii="仿宋" w:eastAsia="仿宋" w:hAnsi="仿宋" w:hint="eastAsia"/>
          <w:sz w:val="32"/>
          <w:szCs w:val="32"/>
        </w:rPr>
        <w:t>2017年一般公共预算拨款支出2929.57万元，比上年决</w:t>
      </w:r>
      <w:r>
        <w:rPr>
          <w:rFonts w:ascii="仿宋" w:eastAsia="仿宋" w:hAnsi="仿宋" w:hint="eastAsia"/>
          <w:sz w:val="32"/>
          <w:szCs w:val="32"/>
        </w:rPr>
        <w:lastRenderedPageBreak/>
        <w:t>算数增加203.38万元，增长7.46</w:t>
      </w:r>
      <w:r>
        <w:rPr>
          <w:rFonts w:ascii="仿宋" w:eastAsia="仿宋" w:hAnsi="仿宋"/>
          <w:sz w:val="32"/>
          <w:szCs w:val="32"/>
        </w:rPr>
        <w:t>%，具体情况如下(按项级科目分类统计)：</w:t>
      </w:r>
    </w:p>
    <w:p w:rsidR="008C4A8E" w:rsidRDefault="001A2669">
      <w:pPr>
        <w:spacing w:line="600" w:lineRule="exact"/>
        <w:ind w:firstLineChars="200" w:firstLine="640"/>
        <w:rPr>
          <w:rFonts w:ascii="仿宋" w:eastAsia="仿宋" w:hAnsi="仿宋"/>
          <w:sz w:val="32"/>
          <w:szCs w:val="32"/>
        </w:rPr>
      </w:pPr>
      <w:r>
        <w:rPr>
          <w:rFonts w:ascii="仿宋" w:eastAsia="仿宋" w:hAnsi="仿宋" w:hint="eastAsia"/>
          <w:sz w:val="32"/>
          <w:szCs w:val="32"/>
        </w:rPr>
        <w:t>（一）其他政府办公厅（室）及相关机构事务支出（2010399）903.54万元，较上年决算数增加52.32万元，增长6.15</w:t>
      </w:r>
      <w:r>
        <w:rPr>
          <w:rFonts w:ascii="仿宋" w:eastAsia="仿宋" w:hAnsi="仿宋"/>
          <w:sz w:val="32"/>
          <w:szCs w:val="32"/>
        </w:rPr>
        <w:t>%。主要原因是</w:t>
      </w:r>
      <w:r>
        <w:rPr>
          <w:rStyle w:val="23"/>
          <w:rFonts w:ascii="仿宋_GB2312" w:eastAsia="仿宋_GB2312" w:hint="eastAsia"/>
          <w:sz w:val="32"/>
          <w:szCs w:val="32"/>
        </w:rPr>
        <w:t>2017年度调增人员工资致使工资福利支出和对个人和家庭的补助支出增加</w:t>
      </w:r>
      <w:r>
        <w:rPr>
          <w:rFonts w:ascii="仿宋" w:eastAsia="仿宋" w:hAnsi="仿宋"/>
          <w:sz w:val="32"/>
          <w:szCs w:val="32"/>
        </w:rPr>
        <w:t>。</w:t>
      </w:r>
    </w:p>
    <w:p w:rsidR="008C4A8E" w:rsidRDefault="001A2669">
      <w:pPr>
        <w:spacing w:line="600" w:lineRule="exact"/>
        <w:ind w:firstLineChars="200" w:firstLine="640"/>
        <w:rPr>
          <w:rFonts w:ascii="仿宋" w:eastAsia="仿宋" w:hAnsi="仿宋"/>
          <w:sz w:val="32"/>
          <w:szCs w:val="32"/>
        </w:rPr>
      </w:pPr>
      <w:r>
        <w:rPr>
          <w:rFonts w:ascii="仿宋" w:eastAsia="仿宋" w:hAnsi="仿宋" w:hint="eastAsia"/>
          <w:sz w:val="32"/>
          <w:szCs w:val="32"/>
        </w:rPr>
        <w:t>（二）城管执法支出（2120104）184.96万元，较上年决算数减少36.44万元，下降16.46</w:t>
      </w:r>
      <w:r>
        <w:rPr>
          <w:rFonts w:ascii="仿宋" w:eastAsia="仿宋" w:hAnsi="仿宋"/>
          <w:sz w:val="32"/>
          <w:szCs w:val="32"/>
        </w:rPr>
        <w:t>%。主要原因是2017</w:t>
      </w:r>
      <w:r>
        <w:rPr>
          <w:rFonts w:ascii="仿宋" w:eastAsia="仿宋" w:hAnsi="仿宋" w:hint="eastAsia"/>
          <w:sz w:val="32"/>
          <w:szCs w:val="32"/>
        </w:rPr>
        <w:t>年度执法装备采购及执法制服更新费用暂未支付</w:t>
      </w:r>
      <w:r>
        <w:rPr>
          <w:rFonts w:ascii="仿宋" w:eastAsia="仿宋" w:hAnsi="仿宋"/>
          <w:sz w:val="32"/>
          <w:szCs w:val="32"/>
        </w:rPr>
        <w:t>。</w:t>
      </w:r>
    </w:p>
    <w:p w:rsidR="008C4A8E" w:rsidRDefault="001A2669">
      <w:pPr>
        <w:spacing w:line="600" w:lineRule="exact"/>
        <w:ind w:firstLineChars="200" w:firstLine="640"/>
        <w:rPr>
          <w:rFonts w:ascii="仿宋" w:eastAsia="仿宋" w:hAnsi="仿宋"/>
          <w:sz w:val="32"/>
          <w:szCs w:val="32"/>
        </w:rPr>
      </w:pPr>
      <w:r>
        <w:rPr>
          <w:rFonts w:ascii="仿宋" w:eastAsia="仿宋" w:hAnsi="仿宋" w:hint="eastAsia"/>
          <w:sz w:val="32"/>
          <w:szCs w:val="32"/>
        </w:rPr>
        <w:t>（三）</w:t>
      </w:r>
      <w:r>
        <w:rPr>
          <w:rStyle w:val="23"/>
          <w:rFonts w:ascii="仿宋_GB2312" w:eastAsia="仿宋_GB2312" w:hint="eastAsia"/>
          <w:sz w:val="32"/>
          <w:szCs w:val="32"/>
        </w:rPr>
        <w:t>城乡社区环境卫生支出</w:t>
      </w:r>
      <w:r>
        <w:rPr>
          <w:rFonts w:ascii="仿宋" w:eastAsia="仿宋" w:hAnsi="仿宋" w:hint="eastAsia"/>
          <w:sz w:val="32"/>
          <w:szCs w:val="32"/>
        </w:rPr>
        <w:t>（</w:t>
      </w:r>
      <w:r>
        <w:rPr>
          <w:rStyle w:val="23"/>
          <w:rFonts w:ascii="仿宋_GB2312" w:eastAsia="仿宋_GB2312" w:hint="eastAsia"/>
          <w:sz w:val="32"/>
          <w:szCs w:val="32"/>
        </w:rPr>
        <w:t>2120501</w:t>
      </w:r>
      <w:r>
        <w:rPr>
          <w:rFonts w:ascii="仿宋" w:eastAsia="仿宋" w:hAnsi="仿宋" w:hint="eastAsia"/>
          <w:sz w:val="32"/>
          <w:szCs w:val="32"/>
        </w:rPr>
        <w:t>）1841.06万元，较上年决算数增加971.34万元，增长111.68</w:t>
      </w:r>
      <w:r>
        <w:rPr>
          <w:rFonts w:ascii="仿宋" w:eastAsia="仿宋" w:hAnsi="仿宋"/>
          <w:sz w:val="32"/>
          <w:szCs w:val="32"/>
        </w:rPr>
        <w:t>%。主要原因是1、2017</w:t>
      </w:r>
      <w:r>
        <w:rPr>
          <w:rFonts w:ascii="仿宋" w:eastAsia="仿宋" w:hAnsi="仿宋" w:hint="eastAsia"/>
          <w:sz w:val="32"/>
          <w:szCs w:val="32"/>
        </w:rPr>
        <w:t>年为龙岩市创建全国文明城市的最后一年，为保障创城工作的顺利推进，根据工作需要，扩大保洁范围致保洁费用增加</w:t>
      </w:r>
      <w:r>
        <w:rPr>
          <w:rFonts w:ascii="仿宋" w:eastAsia="仿宋" w:hAnsi="仿宋"/>
          <w:sz w:val="32"/>
          <w:szCs w:val="32"/>
        </w:rPr>
        <w:t>；2、</w:t>
      </w:r>
      <w:r>
        <w:rPr>
          <w:rFonts w:ascii="仿宋" w:eastAsia="仿宋" w:hAnsi="仿宋" w:hint="eastAsia"/>
          <w:sz w:val="32"/>
          <w:szCs w:val="32"/>
        </w:rPr>
        <w:t>市里的保洁“以奖代补”资金由其他城乡</w:t>
      </w:r>
      <w:r>
        <w:rPr>
          <w:rStyle w:val="23"/>
          <w:rFonts w:ascii="仿宋_GB2312" w:eastAsia="仿宋_GB2312" w:hint="eastAsia"/>
          <w:sz w:val="32"/>
          <w:szCs w:val="32"/>
        </w:rPr>
        <w:t>社区支出（2129999）调整至该科目支出。</w:t>
      </w:r>
    </w:p>
    <w:p w:rsidR="008C4A8E" w:rsidRDefault="001A2669">
      <w:pPr>
        <w:tabs>
          <w:tab w:val="left" w:pos="7513"/>
        </w:tabs>
        <w:adjustRightInd w:val="0"/>
        <w:snapToGrid w:val="0"/>
        <w:spacing w:line="600" w:lineRule="exact"/>
        <w:ind w:firstLineChars="200" w:firstLine="640"/>
        <w:rPr>
          <w:rFonts w:ascii="黑体" w:eastAsia="黑体" w:hAnsi="黑体" w:cs="仿宋_GB2312"/>
          <w:bCs/>
          <w:sz w:val="32"/>
          <w:szCs w:val="32"/>
        </w:rPr>
      </w:pPr>
      <w:r>
        <w:rPr>
          <w:rFonts w:ascii="黑体" w:eastAsia="黑体" w:hAnsi="黑体" w:cs="仿宋_GB2312" w:hint="eastAsia"/>
          <w:bCs/>
          <w:sz w:val="32"/>
          <w:szCs w:val="32"/>
        </w:rPr>
        <w:t>六、政府性基金支出决算情况</w:t>
      </w:r>
    </w:p>
    <w:p w:rsidR="008C4A8E" w:rsidRDefault="001A2669">
      <w:pPr>
        <w:tabs>
          <w:tab w:val="left" w:pos="7513"/>
        </w:tabs>
        <w:adjustRightInd w:val="0"/>
        <w:snapToGrid w:val="0"/>
        <w:spacing w:line="600" w:lineRule="exact"/>
        <w:ind w:firstLineChars="220" w:firstLine="704"/>
        <w:rPr>
          <w:rFonts w:ascii="仿宋" w:eastAsia="仿宋" w:hAnsi="仿宋" w:cs="仿宋_GB2312"/>
          <w:sz w:val="32"/>
          <w:szCs w:val="32"/>
        </w:rPr>
      </w:pPr>
      <w:r>
        <w:rPr>
          <w:rFonts w:ascii="仿宋" w:eastAsia="仿宋" w:hAnsi="仿宋" w:hint="eastAsia"/>
          <w:sz w:val="32"/>
          <w:szCs w:val="32"/>
        </w:rPr>
        <w:t>2017</w:t>
      </w:r>
      <w:r>
        <w:rPr>
          <w:rFonts w:ascii="仿宋" w:eastAsia="仿宋" w:hAnsi="仿宋" w:cs="仿宋_GB2312" w:hint="eastAsia"/>
          <w:sz w:val="32"/>
          <w:szCs w:val="32"/>
        </w:rPr>
        <w:t>年度</w:t>
      </w:r>
      <w:r>
        <w:rPr>
          <w:rFonts w:ascii="仿宋" w:eastAsia="仿宋" w:hAnsi="仿宋" w:cs="仿宋_GB2312"/>
          <w:sz w:val="32"/>
          <w:szCs w:val="32"/>
        </w:rPr>
        <w:t>政府性基金支出</w:t>
      </w:r>
      <w:r>
        <w:rPr>
          <w:rFonts w:ascii="仿宋" w:eastAsia="仿宋" w:hAnsi="仿宋" w:hint="eastAsia"/>
          <w:sz w:val="32"/>
          <w:szCs w:val="32"/>
        </w:rPr>
        <w:t>3.22</w:t>
      </w:r>
      <w:r>
        <w:rPr>
          <w:rFonts w:ascii="仿宋" w:eastAsia="仿宋" w:hAnsi="仿宋" w:cs="仿宋_GB2312" w:hint="eastAsia"/>
          <w:sz w:val="32"/>
          <w:szCs w:val="32"/>
        </w:rPr>
        <w:t>万元，比</w:t>
      </w:r>
      <w:r>
        <w:rPr>
          <w:rFonts w:ascii="仿宋" w:eastAsia="仿宋" w:hAnsi="仿宋" w:hint="eastAsia"/>
          <w:sz w:val="32"/>
          <w:szCs w:val="32"/>
        </w:rPr>
        <w:t>上年</w:t>
      </w:r>
      <w:r>
        <w:rPr>
          <w:rFonts w:ascii="仿宋" w:eastAsia="仿宋" w:hAnsi="仿宋" w:cs="仿宋_GB2312"/>
          <w:sz w:val="32"/>
          <w:szCs w:val="32"/>
        </w:rPr>
        <w:t>决算数减少26.78</w:t>
      </w:r>
      <w:r>
        <w:rPr>
          <w:rFonts w:ascii="仿宋" w:eastAsia="仿宋" w:hAnsi="仿宋" w:cs="仿宋_GB2312" w:hint="eastAsia"/>
          <w:sz w:val="32"/>
          <w:szCs w:val="32"/>
        </w:rPr>
        <w:t>万元，下降89.27</w:t>
      </w:r>
      <w:r>
        <w:rPr>
          <w:rFonts w:ascii="仿宋" w:eastAsia="仿宋" w:hAnsi="仿宋" w:cs="仿宋_GB2312"/>
          <w:sz w:val="32"/>
          <w:szCs w:val="32"/>
        </w:rPr>
        <w:t>%，具体情况如下(按项级科目统计)：</w:t>
      </w:r>
    </w:p>
    <w:p w:rsidR="008C4A8E" w:rsidRDefault="001A2669">
      <w:pPr>
        <w:tabs>
          <w:tab w:val="left" w:pos="7513"/>
        </w:tabs>
        <w:adjustRightInd w:val="0"/>
        <w:snapToGrid w:val="0"/>
        <w:spacing w:line="600" w:lineRule="exact"/>
        <w:ind w:firstLineChars="220" w:firstLine="704"/>
        <w:rPr>
          <w:rFonts w:ascii="仿宋" w:eastAsia="仿宋" w:hAnsi="仿宋" w:cs="仿宋_GB2312"/>
          <w:sz w:val="32"/>
          <w:szCs w:val="32"/>
        </w:rPr>
      </w:pPr>
      <w:r>
        <w:rPr>
          <w:rFonts w:ascii="仿宋" w:eastAsia="仿宋" w:hAnsi="仿宋" w:cs="仿宋_GB2312" w:hint="eastAsia"/>
          <w:sz w:val="32"/>
          <w:szCs w:val="32"/>
        </w:rPr>
        <w:t>（一）</w:t>
      </w:r>
      <w:r>
        <w:rPr>
          <w:rStyle w:val="23"/>
          <w:rFonts w:ascii="仿宋" w:eastAsia="仿宋" w:hAnsi="仿宋" w:hint="eastAsia"/>
          <w:sz w:val="32"/>
          <w:szCs w:val="32"/>
        </w:rPr>
        <w:t>其他城市基础设施配套费安排的支出</w:t>
      </w:r>
      <w:r>
        <w:rPr>
          <w:rFonts w:ascii="仿宋" w:eastAsia="仿宋" w:hAnsi="仿宋" w:cs="仿宋_GB2312" w:hint="eastAsia"/>
          <w:sz w:val="32"/>
          <w:szCs w:val="32"/>
        </w:rPr>
        <w:t>（</w:t>
      </w:r>
      <w:r>
        <w:rPr>
          <w:rFonts w:ascii="仿宋" w:eastAsia="仿宋" w:hAnsi="仿宋" w:hint="eastAsia"/>
          <w:sz w:val="32"/>
          <w:szCs w:val="32"/>
        </w:rPr>
        <w:t>2121399</w:t>
      </w:r>
      <w:r>
        <w:rPr>
          <w:rFonts w:ascii="仿宋" w:eastAsia="仿宋" w:hAnsi="仿宋" w:cs="仿宋_GB2312" w:hint="eastAsia"/>
          <w:sz w:val="32"/>
          <w:szCs w:val="32"/>
        </w:rPr>
        <w:t>）</w:t>
      </w:r>
      <w:r>
        <w:rPr>
          <w:rFonts w:ascii="仿宋" w:eastAsia="仿宋" w:hAnsi="仿宋" w:hint="eastAsia"/>
          <w:sz w:val="32"/>
          <w:szCs w:val="32"/>
        </w:rPr>
        <w:t>3.22</w:t>
      </w:r>
      <w:r>
        <w:rPr>
          <w:rFonts w:ascii="仿宋" w:eastAsia="仿宋" w:hAnsi="仿宋" w:cs="仿宋_GB2312" w:hint="eastAsia"/>
          <w:sz w:val="32"/>
          <w:szCs w:val="32"/>
        </w:rPr>
        <w:t>万元，较</w:t>
      </w:r>
      <w:r>
        <w:rPr>
          <w:rFonts w:ascii="仿宋" w:eastAsia="仿宋" w:hAnsi="仿宋" w:hint="eastAsia"/>
          <w:sz w:val="32"/>
          <w:szCs w:val="32"/>
        </w:rPr>
        <w:t>2016</w:t>
      </w:r>
      <w:r>
        <w:rPr>
          <w:rFonts w:ascii="仿宋" w:eastAsia="仿宋" w:hAnsi="仿宋" w:cs="仿宋_GB2312" w:hint="eastAsia"/>
          <w:sz w:val="32"/>
          <w:szCs w:val="32"/>
        </w:rPr>
        <w:t>年决算数减少26.78万元，下降89.27</w:t>
      </w:r>
      <w:r>
        <w:rPr>
          <w:rFonts w:ascii="仿宋" w:eastAsia="仿宋" w:hAnsi="仿宋" w:cs="仿宋_GB2312"/>
          <w:sz w:val="32"/>
          <w:szCs w:val="32"/>
        </w:rPr>
        <w:t>%。主要原因是2017</w:t>
      </w:r>
      <w:r>
        <w:rPr>
          <w:rFonts w:ascii="仿宋" w:eastAsia="仿宋" w:hAnsi="仿宋" w:cs="仿宋_GB2312" w:hint="eastAsia"/>
          <w:sz w:val="32"/>
          <w:szCs w:val="32"/>
        </w:rPr>
        <w:t>年市财政未安排背街小巷垃圾桶更新采购费支出</w:t>
      </w:r>
      <w:r>
        <w:rPr>
          <w:rFonts w:ascii="仿宋" w:eastAsia="仿宋" w:hAnsi="仿宋" w:cs="仿宋_GB2312"/>
          <w:sz w:val="32"/>
          <w:szCs w:val="32"/>
        </w:rPr>
        <w:t>。</w:t>
      </w:r>
    </w:p>
    <w:p w:rsidR="008C4A8E" w:rsidRDefault="001A2669">
      <w:pPr>
        <w:tabs>
          <w:tab w:val="left" w:pos="7513"/>
        </w:tabs>
        <w:adjustRightInd w:val="0"/>
        <w:snapToGrid w:val="0"/>
        <w:spacing w:line="600" w:lineRule="exact"/>
        <w:ind w:firstLineChars="200" w:firstLine="640"/>
        <w:rPr>
          <w:rFonts w:ascii="黑体" w:eastAsia="黑体" w:hAnsi="黑体" w:cs="仿宋_GB2312"/>
          <w:bCs/>
          <w:sz w:val="32"/>
          <w:szCs w:val="32"/>
        </w:rPr>
      </w:pPr>
      <w:r>
        <w:rPr>
          <w:rFonts w:ascii="黑体" w:eastAsia="黑体" w:hAnsi="黑体" w:cs="仿宋_GB2312" w:hint="eastAsia"/>
          <w:bCs/>
          <w:sz w:val="32"/>
          <w:szCs w:val="32"/>
        </w:rPr>
        <w:lastRenderedPageBreak/>
        <w:t>七、财政拨款基本支出决算情况</w:t>
      </w:r>
    </w:p>
    <w:p w:rsidR="008C4A8E" w:rsidRDefault="001A2669">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hint="eastAsia"/>
          <w:sz w:val="32"/>
          <w:szCs w:val="32"/>
        </w:rPr>
        <w:t>2017</w:t>
      </w:r>
      <w:r>
        <w:rPr>
          <w:rFonts w:ascii="仿宋" w:eastAsia="仿宋" w:hAnsi="仿宋" w:cs="仿宋_GB2312" w:hint="eastAsia"/>
          <w:sz w:val="32"/>
          <w:szCs w:val="32"/>
        </w:rPr>
        <w:t>年度财政拨款基本支出903.54万元，其中：</w:t>
      </w:r>
    </w:p>
    <w:p w:rsidR="008C4A8E" w:rsidRDefault="001A2669">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人员经费818.31万元，主要包括：基本工资、津贴补贴、奖金、伙食补助费、绩效工资、机关事业单位基本养老保险缴费、职业年金缴费、其他社会保障缴费、其他工资福利支出、离休费、退休费、抚恤金、生活补助、医疗费、奖励金、住房公积金、提租补贴、购房补贴、采暖补贴、物业服务补贴、其他对个人和家庭的补助支出。</w:t>
      </w:r>
    </w:p>
    <w:p w:rsidR="008C4A8E" w:rsidRDefault="001A2669">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二）公用经费85.23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rsidR="008C4A8E" w:rsidRDefault="001A2669">
      <w:pPr>
        <w:tabs>
          <w:tab w:val="left" w:pos="7513"/>
        </w:tabs>
        <w:adjustRightInd w:val="0"/>
        <w:snapToGrid w:val="0"/>
        <w:spacing w:line="600" w:lineRule="exact"/>
        <w:ind w:firstLineChars="200" w:firstLine="640"/>
        <w:rPr>
          <w:rFonts w:ascii="黑体" w:eastAsia="黑体" w:hAnsi="黑体" w:cs="仿宋_GB2312"/>
          <w:bCs/>
          <w:sz w:val="32"/>
          <w:szCs w:val="32"/>
        </w:rPr>
      </w:pPr>
      <w:r>
        <w:rPr>
          <w:rFonts w:ascii="黑体" w:eastAsia="黑体" w:hAnsi="黑体" w:cs="仿宋_GB2312" w:hint="eastAsia"/>
          <w:bCs/>
          <w:sz w:val="32"/>
          <w:szCs w:val="32"/>
        </w:rPr>
        <w:t>八、</w:t>
      </w:r>
      <w:r>
        <w:rPr>
          <w:rFonts w:ascii="黑体" w:eastAsia="黑体" w:hAnsi="黑体" w:hint="eastAsia"/>
          <w:sz w:val="32"/>
          <w:szCs w:val="32"/>
        </w:rPr>
        <w:t>一般公共预算拨款</w:t>
      </w:r>
      <w:r>
        <w:rPr>
          <w:rFonts w:ascii="黑体" w:eastAsia="黑体" w:hAnsi="黑体" w:cs="仿宋_GB2312" w:hint="eastAsia"/>
          <w:bCs/>
          <w:sz w:val="32"/>
          <w:szCs w:val="32"/>
        </w:rPr>
        <w:t>“三公”经费支出决算情况</w:t>
      </w:r>
    </w:p>
    <w:p w:rsidR="008C4A8E" w:rsidRDefault="001A2669">
      <w:pPr>
        <w:tabs>
          <w:tab w:val="left" w:pos="7513"/>
        </w:tabs>
        <w:adjustRightInd w:val="0"/>
        <w:snapToGrid w:val="0"/>
        <w:spacing w:line="600" w:lineRule="exact"/>
        <w:ind w:firstLineChars="220" w:firstLine="704"/>
        <w:rPr>
          <w:rFonts w:ascii="仿宋" w:eastAsia="仿宋" w:hAnsi="仿宋"/>
          <w:sz w:val="32"/>
          <w:szCs w:val="32"/>
        </w:rPr>
      </w:pPr>
      <w:r>
        <w:rPr>
          <w:rFonts w:ascii="仿宋" w:eastAsia="仿宋" w:hAnsi="仿宋" w:cs="仿宋_GB2312"/>
          <w:sz w:val="32"/>
          <w:szCs w:val="32"/>
        </w:rPr>
        <w:t>2017年</w:t>
      </w:r>
      <w:r>
        <w:rPr>
          <w:rFonts w:ascii="仿宋" w:eastAsia="仿宋" w:hAnsi="仿宋" w:cs="仿宋_GB2312" w:hint="eastAsia"/>
          <w:sz w:val="32"/>
          <w:szCs w:val="32"/>
        </w:rPr>
        <w:t>度</w:t>
      </w:r>
      <w:r>
        <w:rPr>
          <w:rFonts w:ascii="仿宋" w:eastAsia="仿宋" w:hAnsi="仿宋" w:cs="仿宋_GB2312"/>
          <w:sz w:val="32"/>
          <w:szCs w:val="32"/>
        </w:rPr>
        <w:t>“三公”经费</w:t>
      </w:r>
      <w:r>
        <w:rPr>
          <w:rFonts w:ascii="仿宋" w:eastAsia="仿宋" w:hAnsi="仿宋" w:cs="仿宋_GB2312" w:hint="eastAsia"/>
          <w:sz w:val="32"/>
          <w:szCs w:val="32"/>
        </w:rPr>
        <w:t>一般公共预算拨款13.29万元，同比下降30.46</w:t>
      </w:r>
      <w:r>
        <w:rPr>
          <w:rFonts w:ascii="仿宋" w:eastAsia="仿宋" w:hAnsi="仿宋" w:cs="仿宋_GB2312"/>
          <w:sz w:val="32"/>
          <w:szCs w:val="32"/>
        </w:rPr>
        <w:t>%。具体情况如下：</w:t>
      </w:r>
      <w:r>
        <w:rPr>
          <w:rFonts w:ascii="仿宋" w:eastAsia="仿宋" w:hAnsi="仿宋" w:cs="仿宋_GB2312"/>
          <w:sz w:val="32"/>
          <w:szCs w:val="32"/>
        </w:rPr>
        <w:br/>
      </w:r>
      <w:r>
        <w:rPr>
          <w:rFonts w:ascii="仿宋" w:eastAsia="仿宋" w:hAnsi="仿宋" w:cs="仿宋_GB2312" w:hint="eastAsia"/>
          <w:sz w:val="32"/>
          <w:szCs w:val="32"/>
        </w:rPr>
        <w:t xml:space="preserve">　　（一）因公出国（境）费0万元，与2016年持平</w:t>
      </w:r>
      <w:r>
        <w:rPr>
          <w:rFonts w:ascii="仿宋" w:eastAsia="仿宋" w:hAnsi="仿宋" w:cs="仿宋_GB2312"/>
          <w:sz w:val="32"/>
          <w:szCs w:val="32"/>
        </w:rPr>
        <w:t xml:space="preserve">, </w:t>
      </w:r>
      <w:r>
        <w:rPr>
          <w:rFonts w:ascii="仿宋" w:eastAsia="仿宋" w:hAnsi="仿宋" w:hint="eastAsia"/>
          <w:sz w:val="32"/>
          <w:szCs w:val="32"/>
        </w:rPr>
        <w:t>主要原因是2017年未安排与因公出国（境）相关业务。</w:t>
      </w:r>
    </w:p>
    <w:p w:rsidR="008C4A8E" w:rsidRDefault="001A2669">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cs="仿宋_GB2312"/>
          <w:sz w:val="32"/>
          <w:szCs w:val="32"/>
        </w:rPr>
        <w:t>（二）公务用车购置及运行费13.2万元。其中：公务用车购置费0万元，2017年公务用车购置</w:t>
      </w:r>
      <w:r>
        <w:rPr>
          <w:rFonts w:ascii="仿宋" w:eastAsia="仿宋" w:hAnsi="仿宋" w:cs="仿宋_GB2312" w:hint="eastAsia"/>
          <w:sz w:val="32"/>
          <w:szCs w:val="32"/>
        </w:rPr>
        <w:t>0辆。公务用车购</w:t>
      </w:r>
      <w:r>
        <w:rPr>
          <w:rFonts w:ascii="仿宋" w:eastAsia="仿宋" w:hAnsi="仿宋" w:cs="仿宋_GB2312" w:hint="eastAsia"/>
          <w:sz w:val="32"/>
          <w:szCs w:val="32"/>
        </w:rPr>
        <w:lastRenderedPageBreak/>
        <w:t>置费与2016年持平，主要</w:t>
      </w:r>
      <w:r>
        <w:rPr>
          <w:rFonts w:ascii="仿宋" w:eastAsia="仿宋" w:hAnsi="仿宋" w:hint="eastAsia"/>
          <w:sz w:val="32"/>
          <w:szCs w:val="32"/>
        </w:rPr>
        <w:t>原因是2017年未安排</w:t>
      </w:r>
      <w:r>
        <w:rPr>
          <w:rFonts w:ascii="仿宋" w:eastAsia="仿宋" w:hAnsi="仿宋" w:cs="仿宋_GB2312" w:hint="eastAsia"/>
          <w:sz w:val="32"/>
          <w:szCs w:val="32"/>
        </w:rPr>
        <w:t>公务用车购置。</w:t>
      </w:r>
    </w:p>
    <w:p w:rsidR="008C4A8E" w:rsidRDefault="001A2669">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公务用车运行费1</w:t>
      </w:r>
      <w:r>
        <w:rPr>
          <w:rFonts w:ascii="仿宋" w:eastAsia="仿宋" w:hAnsi="仿宋" w:cs="仿宋_GB2312"/>
          <w:sz w:val="32"/>
          <w:szCs w:val="32"/>
        </w:rPr>
        <w:t>3.2</w:t>
      </w:r>
      <w:r>
        <w:rPr>
          <w:rFonts w:ascii="仿宋" w:eastAsia="仿宋" w:hAnsi="仿宋" w:cs="仿宋_GB2312" w:hint="eastAsia"/>
          <w:sz w:val="32"/>
          <w:szCs w:val="32"/>
        </w:rPr>
        <w:t>万元，主要用于公务用车燃油、维修、保险等方面支出，年末公务用车保有量9辆。与2016年相比，公务用车运行费下降26.38</w:t>
      </w:r>
      <w:r>
        <w:rPr>
          <w:rFonts w:ascii="仿宋" w:eastAsia="仿宋" w:hAnsi="仿宋" w:cs="仿宋_GB2312"/>
          <w:sz w:val="32"/>
          <w:szCs w:val="32"/>
        </w:rPr>
        <w:t>%，主要是</w:t>
      </w:r>
      <w:r>
        <w:rPr>
          <w:rFonts w:ascii="仿宋" w:eastAsia="仿宋" w:hAnsi="仿宋" w:cs="仿宋_GB2312" w:hint="eastAsia"/>
          <w:sz w:val="32"/>
          <w:szCs w:val="32"/>
        </w:rPr>
        <w:t>执法执勤车辆较2016年减少3辆，运行费用预算下降，同时</w:t>
      </w:r>
      <w:r>
        <w:rPr>
          <w:rStyle w:val="23"/>
          <w:rFonts w:ascii="仿宋" w:eastAsia="仿宋" w:hAnsi="仿宋" w:hint="eastAsia"/>
          <w:sz w:val="32"/>
          <w:szCs w:val="32"/>
        </w:rPr>
        <w:t>加强对公务车辆的管理，规范和控制公务用车修理、用油等行为，最大限度提高公车使用效率</w:t>
      </w:r>
      <w:r>
        <w:rPr>
          <w:rFonts w:ascii="仿宋" w:eastAsia="仿宋" w:hAnsi="仿宋" w:hint="eastAsia"/>
          <w:sz w:val="32"/>
          <w:szCs w:val="32"/>
        </w:rPr>
        <w:t>。</w:t>
      </w:r>
      <w:r>
        <w:rPr>
          <w:rFonts w:ascii="仿宋" w:eastAsia="仿宋" w:hAnsi="仿宋" w:cs="仿宋_GB2312" w:hint="eastAsia"/>
          <w:sz w:val="32"/>
          <w:szCs w:val="32"/>
        </w:rPr>
        <w:br/>
        <w:t xml:space="preserve">　　（三）公务接待费0.1万元。主要用于省级部门业务检查及其他县市相关单位业务考察等方面的接待活动，累计接待2批次、接待总人数17人。与</w:t>
      </w:r>
      <w:r>
        <w:rPr>
          <w:rFonts w:ascii="仿宋" w:eastAsia="仿宋" w:hAnsi="仿宋" w:cs="仿宋_GB2312"/>
          <w:sz w:val="32"/>
          <w:szCs w:val="32"/>
        </w:rPr>
        <w:t xml:space="preserve">2016年相比, </w:t>
      </w:r>
      <w:r>
        <w:rPr>
          <w:rFonts w:ascii="仿宋" w:eastAsia="仿宋" w:hAnsi="仿宋" w:cs="仿宋_GB2312" w:hint="eastAsia"/>
          <w:sz w:val="32"/>
          <w:szCs w:val="32"/>
        </w:rPr>
        <w:t>公务接待费支出下降91.53</w:t>
      </w:r>
      <w:r>
        <w:rPr>
          <w:rFonts w:ascii="仿宋" w:eastAsia="仿宋" w:hAnsi="仿宋" w:cs="仿宋_GB2312"/>
          <w:sz w:val="32"/>
          <w:szCs w:val="32"/>
        </w:rPr>
        <w:t>%，主要是</w:t>
      </w:r>
      <w:r>
        <w:rPr>
          <w:rFonts w:ascii="仿宋" w:eastAsia="仿宋" w:hAnsi="仿宋" w:hint="eastAsia"/>
          <w:sz w:val="32"/>
          <w:szCs w:val="32"/>
        </w:rPr>
        <w:t>加强对工作接待的管理及相关单位接待减少。</w:t>
      </w:r>
    </w:p>
    <w:p w:rsidR="008C4A8E" w:rsidRDefault="001A2669">
      <w:pPr>
        <w:tabs>
          <w:tab w:val="left" w:pos="7513"/>
        </w:tabs>
        <w:adjustRightInd w:val="0"/>
        <w:snapToGrid w:val="0"/>
        <w:spacing w:line="600" w:lineRule="exact"/>
        <w:ind w:firstLineChars="200" w:firstLine="640"/>
        <w:rPr>
          <w:rFonts w:ascii="黑体" w:eastAsia="黑体" w:hAnsi="黑体"/>
          <w:sz w:val="32"/>
          <w:szCs w:val="32"/>
        </w:rPr>
      </w:pPr>
      <w:r>
        <w:rPr>
          <w:rFonts w:ascii="黑体" w:eastAsia="黑体" w:hAnsi="黑体" w:hint="eastAsia"/>
          <w:sz w:val="32"/>
          <w:szCs w:val="32"/>
        </w:rPr>
        <w:t>九、其他重要事项说明</w:t>
      </w:r>
    </w:p>
    <w:p w:rsidR="008C4A8E" w:rsidRDefault="001A2669">
      <w:pPr>
        <w:tabs>
          <w:tab w:val="left" w:pos="7513"/>
        </w:tabs>
        <w:adjustRightInd w:val="0"/>
        <w:snapToGrid w:val="0"/>
        <w:spacing w:line="600" w:lineRule="exact"/>
        <w:ind w:firstLineChars="200" w:firstLine="643"/>
        <w:rPr>
          <w:rFonts w:ascii="黑体" w:eastAsia="黑体" w:hAnsi="黑体" w:cs="仿宋_GB2312"/>
          <w:bCs/>
          <w:sz w:val="32"/>
          <w:szCs w:val="32"/>
        </w:rPr>
      </w:pPr>
      <w:r>
        <w:rPr>
          <w:rFonts w:ascii="楷体" w:eastAsia="楷体" w:hAnsi="楷体" w:hint="eastAsia"/>
          <w:b/>
          <w:sz w:val="32"/>
          <w:szCs w:val="32"/>
        </w:rPr>
        <w:t>（一）机关运行经费</w:t>
      </w:r>
    </w:p>
    <w:p w:rsidR="008C4A8E" w:rsidRDefault="001A2669">
      <w:pPr>
        <w:tabs>
          <w:tab w:val="left" w:pos="7513"/>
        </w:tabs>
        <w:adjustRightInd w:val="0"/>
        <w:snapToGrid w:val="0"/>
        <w:spacing w:line="600" w:lineRule="exact"/>
        <w:ind w:firstLineChars="200" w:firstLine="640"/>
        <w:rPr>
          <w:rFonts w:ascii="仿宋" w:eastAsia="仿宋" w:hAnsi="仿宋" w:cs="仿宋_GB2312"/>
          <w:sz w:val="32"/>
          <w:szCs w:val="32"/>
        </w:rPr>
      </w:pPr>
      <w:r>
        <w:rPr>
          <w:rFonts w:ascii="仿宋" w:eastAsia="仿宋" w:hAnsi="仿宋" w:hint="eastAsia"/>
          <w:sz w:val="32"/>
          <w:szCs w:val="32"/>
        </w:rPr>
        <w:t>2017</w:t>
      </w:r>
      <w:r>
        <w:rPr>
          <w:rFonts w:ascii="仿宋" w:eastAsia="仿宋" w:hAnsi="仿宋" w:cs="仿宋_GB2312" w:hint="eastAsia"/>
          <w:sz w:val="32"/>
          <w:szCs w:val="32"/>
        </w:rPr>
        <w:t>年度</w:t>
      </w:r>
      <w:r>
        <w:rPr>
          <w:rFonts w:ascii="仿宋" w:eastAsia="仿宋" w:hAnsi="仿宋" w:cs="仿宋_GB2312"/>
          <w:sz w:val="32"/>
          <w:szCs w:val="32"/>
        </w:rPr>
        <w:t>机关运行经费支出85.23万元，比</w:t>
      </w:r>
      <w:r>
        <w:rPr>
          <w:rFonts w:ascii="仿宋" w:eastAsia="仿宋" w:hAnsi="仿宋" w:hint="eastAsia"/>
          <w:sz w:val="32"/>
          <w:szCs w:val="32"/>
        </w:rPr>
        <w:t>上年</w:t>
      </w:r>
      <w:r>
        <w:rPr>
          <w:rFonts w:ascii="仿宋" w:eastAsia="仿宋" w:hAnsi="仿宋" w:cs="仿宋_GB2312"/>
          <w:sz w:val="32"/>
          <w:szCs w:val="32"/>
        </w:rPr>
        <w:t>决算数增长21.79%，主要是</w:t>
      </w:r>
      <w:r>
        <w:rPr>
          <w:rFonts w:ascii="仿宋" w:eastAsia="仿宋" w:hAnsi="仿宋" w:hint="eastAsia"/>
          <w:sz w:val="32"/>
          <w:szCs w:val="32"/>
        </w:rPr>
        <w:t>办公费用支出增加及工会组织干部进行素质拓展培训</w:t>
      </w:r>
      <w:r>
        <w:rPr>
          <w:rFonts w:ascii="仿宋" w:eastAsia="仿宋" w:hAnsi="仿宋" w:cs="仿宋_GB2312"/>
          <w:sz w:val="32"/>
          <w:szCs w:val="32"/>
        </w:rPr>
        <w:t>。</w:t>
      </w:r>
    </w:p>
    <w:p w:rsidR="008C4A8E" w:rsidRDefault="001A2669">
      <w:pPr>
        <w:autoSpaceDE w:val="0"/>
        <w:autoSpaceDN w:val="0"/>
        <w:adjustRightInd w:val="0"/>
        <w:spacing w:line="600" w:lineRule="exact"/>
        <w:ind w:firstLineChars="200" w:firstLine="643"/>
        <w:jc w:val="left"/>
        <w:rPr>
          <w:rFonts w:ascii="黑体" w:eastAsia="黑体" w:hAnsi="黑体" w:cs="仿宋_GB2312"/>
          <w:kern w:val="0"/>
          <w:sz w:val="32"/>
          <w:szCs w:val="32"/>
        </w:rPr>
      </w:pPr>
      <w:r>
        <w:rPr>
          <w:rFonts w:ascii="楷体" w:eastAsia="楷体" w:hAnsi="楷体" w:hint="eastAsia"/>
          <w:b/>
          <w:sz w:val="32"/>
          <w:szCs w:val="32"/>
        </w:rPr>
        <w:t>（二）政府采购情况</w:t>
      </w:r>
    </w:p>
    <w:p w:rsidR="008C4A8E" w:rsidRDefault="001A2669">
      <w:pPr>
        <w:autoSpaceDE w:val="0"/>
        <w:autoSpaceDN w:val="0"/>
        <w:adjustRightInd w:val="0"/>
        <w:spacing w:line="600" w:lineRule="exact"/>
        <w:ind w:firstLineChars="200" w:firstLine="640"/>
        <w:jc w:val="left"/>
        <w:rPr>
          <w:rFonts w:ascii="仿宋" w:eastAsia="仿宋" w:hAnsi="仿宋" w:cs="仿宋_GB2312"/>
          <w:kern w:val="0"/>
          <w:sz w:val="32"/>
          <w:szCs w:val="32"/>
        </w:rPr>
      </w:pPr>
      <w:r>
        <w:rPr>
          <w:rFonts w:ascii="仿宋" w:eastAsia="仿宋" w:hAnsi="仿宋" w:cs="仿宋_GB2312" w:hint="eastAsia"/>
          <w:kern w:val="0"/>
          <w:sz w:val="32"/>
          <w:szCs w:val="32"/>
        </w:rPr>
        <w:t>本部门</w:t>
      </w:r>
      <w:r>
        <w:rPr>
          <w:rFonts w:ascii="仿宋" w:eastAsia="仿宋" w:hAnsi="仿宋" w:hint="eastAsia"/>
          <w:sz w:val="32"/>
          <w:szCs w:val="32"/>
        </w:rPr>
        <w:t>2017</w:t>
      </w:r>
      <w:r>
        <w:rPr>
          <w:rFonts w:ascii="仿宋" w:eastAsia="仿宋" w:hAnsi="仿宋" w:cs="仿宋_GB2312" w:hint="eastAsia"/>
          <w:sz w:val="32"/>
          <w:szCs w:val="32"/>
        </w:rPr>
        <w:t>年度</w:t>
      </w:r>
      <w:r>
        <w:rPr>
          <w:rFonts w:ascii="仿宋" w:eastAsia="仿宋" w:hAnsi="仿宋" w:cs="仿宋_GB2312"/>
          <w:kern w:val="0"/>
          <w:sz w:val="32"/>
          <w:szCs w:val="32"/>
        </w:rPr>
        <w:t>政府采购支出总额</w:t>
      </w:r>
      <w:r>
        <w:rPr>
          <w:rFonts w:ascii="仿宋" w:eastAsia="仿宋" w:hAnsi="仿宋" w:cs="仿宋_GB2312" w:hint="eastAsia"/>
          <w:sz w:val="32"/>
          <w:szCs w:val="32"/>
        </w:rPr>
        <w:t>10.11</w:t>
      </w:r>
      <w:r>
        <w:rPr>
          <w:rFonts w:ascii="仿宋" w:eastAsia="仿宋" w:hAnsi="仿宋" w:cs="仿宋_GB2312" w:hint="eastAsia"/>
          <w:kern w:val="0"/>
          <w:sz w:val="32"/>
          <w:szCs w:val="32"/>
        </w:rPr>
        <w:t>万元，其中：政府采购货物支出</w:t>
      </w:r>
      <w:r>
        <w:rPr>
          <w:rFonts w:ascii="仿宋" w:eastAsia="仿宋" w:hAnsi="仿宋" w:cs="仿宋_GB2312" w:hint="eastAsia"/>
          <w:sz w:val="32"/>
          <w:szCs w:val="32"/>
        </w:rPr>
        <w:t>10.11</w:t>
      </w:r>
      <w:r>
        <w:rPr>
          <w:rFonts w:ascii="仿宋" w:eastAsia="仿宋" w:hAnsi="仿宋" w:cs="仿宋_GB2312" w:hint="eastAsia"/>
          <w:kern w:val="0"/>
          <w:sz w:val="32"/>
          <w:szCs w:val="32"/>
        </w:rPr>
        <w:t>万元、政府采购工程支出</w:t>
      </w:r>
      <w:r>
        <w:rPr>
          <w:rFonts w:ascii="仿宋" w:eastAsia="仿宋" w:hAnsi="仿宋" w:cs="仿宋_GB2312" w:hint="eastAsia"/>
          <w:sz w:val="32"/>
          <w:szCs w:val="32"/>
        </w:rPr>
        <w:t>0</w:t>
      </w:r>
      <w:r>
        <w:rPr>
          <w:rFonts w:ascii="仿宋" w:eastAsia="仿宋" w:hAnsi="仿宋" w:cs="仿宋_GB2312" w:hint="eastAsia"/>
          <w:kern w:val="0"/>
          <w:sz w:val="32"/>
          <w:szCs w:val="32"/>
        </w:rPr>
        <w:t>万元、政府采购服务支出</w:t>
      </w:r>
      <w:r>
        <w:rPr>
          <w:rFonts w:ascii="仿宋" w:eastAsia="仿宋" w:hAnsi="仿宋" w:cs="仿宋_GB2312" w:hint="eastAsia"/>
          <w:sz w:val="32"/>
          <w:szCs w:val="32"/>
        </w:rPr>
        <w:t>0</w:t>
      </w:r>
      <w:r>
        <w:rPr>
          <w:rFonts w:ascii="仿宋" w:eastAsia="仿宋" w:hAnsi="仿宋" w:cs="仿宋_GB2312" w:hint="eastAsia"/>
          <w:kern w:val="0"/>
          <w:sz w:val="32"/>
          <w:szCs w:val="32"/>
        </w:rPr>
        <w:t>万元。</w:t>
      </w:r>
    </w:p>
    <w:p w:rsidR="008C4A8E" w:rsidRDefault="001A2669">
      <w:pPr>
        <w:tabs>
          <w:tab w:val="left" w:pos="7513"/>
        </w:tabs>
        <w:adjustRightInd w:val="0"/>
        <w:snapToGrid w:val="0"/>
        <w:spacing w:line="600" w:lineRule="exact"/>
        <w:ind w:firstLineChars="220" w:firstLine="707"/>
        <w:rPr>
          <w:rFonts w:ascii="黑体" w:eastAsia="黑体" w:hAnsi="黑体" w:cs="Times New Roman"/>
          <w:sz w:val="32"/>
          <w:szCs w:val="32"/>
        </w:rPr>
      </w:pPr>
      <w:r>
        <w:rPr>
          <w:rFonts w:ascii="楷体" w:eastAsia="楷体" w:hAnsi="楷体" w:hint="eastAsia"/>
          <w:b/>
          <w:sz w:val="32"/>
          <w:szCs w:val="32"/>
        </w:rPr>
        <w:t>（三）国有资产占用使用情况</w:t>
      </w:r>
    </w:p>
    <w:p w:rsidR="008C4A8E" w:rsidRDefault="001A2669">
      <w:pPr>
        <w:tabs>
          <w:tab w:val="left" w:pos="7513"/>
        </w:tabs>
        <w:adjustRightInd w:val="0"/>
        <w:snapToGrid w:val="0"/>
        <w:spacing w:line="600" w:lineRule="exact"/>
        <w:ind w:firstLineChars="220" w:firstLine="704"/>
        <w:rPr>
          <w:rFonts w:ascii="仿宋" w:eastAsia="仿宋" w:hAnsi="仿宋" w:cs="仿宋_GB2312"/>
          <w:kern w:val="0"/>
          <w:sz w:val="32"/>
          <w:szCs w:val="32"/>
        </w:rPr>
      </w:pPr>
      <w:r>
        <w:rPr>
          <w:rFonts w:ascii="仿宋" w:eastAsia="仿宋" w:hAnsi="仿宋" w:cs="仿宋_GB2312" w:hint="eastAsia"/>
          <w:kern w:val="0"/>
          <w:sz w:val="32"/>
          <w:szCs w:val="32"/>
        </w:rPr>
        <w:lastRenderedPageBreak/>
        <w:t>截至</w:t>
      </w:r>
      <w:r>
        <w:rPr>
          <w:rFonts w:ascii="仿宋" w:eastAsia="仿宋" w:hAnsi="仿宋" w:hint="eastAsia"/>
          <w:sz w:val="32"/>
          <w:szCs w:val="32"/>
        </w:rPr>
        <w:t>2017</w:t>
      </w:r>
      <w:r>
        <w:rPr>
          <w:rFonts w:ascii="仿宋" w:eastAsia="仿宋" w:hAnsi="仿宋" w:cs="仿宋_GB2312" w:hint="eastAsia"/>
          <w:kern w:val="0"/>
          <w:sz w:val="32"/>
          <w:szCs w:val="32"/>
        </w:rPr>
        <w:t>年</w:t>
      </w:r>
      <w:r>
        <w:rPr>
          <w:rFonts w:ascii="仿宋" w:eastAsia="仿宋" w:hAnsi="仿宋" w:cs="仿宋_GB2312"/>
          <w:kern w:val="0"/>
          <w:sz w:val="32"/>
          <w:szCs w:val="32"/>
        </w:rPr>
        <w:t>12月31日，本部门共有车辆</w:t>
      </w:r>
      <w:r>
        <w:rPr>
          <w:rFonts w:ascii="仿宋" w:eastAsia="仿宋" w:hAnsi="仿宋" w:cs="仿宋_GB2312" w:hint="eastAsia"/>
          <w:sz w:val="32"/>
          <w:szCs w:val="32"/>
        </w:rPr>
        <w:t>9</w:t>
      </w:r>
      <w:r>
        <w:rPr>
          <w:rFonts w:ascii="仿宋" w:eastAsia="仿宋" w:hAnsi="仿宋" w:cs="仿宋_GB2312" w:hint="eastAsia"/>
          <w:kern w:val="0"/>
          <w:sz w:val="32"/>
          <w:szCs w:val="32"/>
        </w:rPr>
        <w:t>辆，其中：部级领导干部用车</w:t>
      </w:r>
      <w:r>
        <w:rPr>
          <w:rFonts w:ascii="仿宋" w:eastAsia="仿宋" w:hAnsi="仿宋" w:cs="仿宋_GB2312" w:hint="eastAsia"/>
          <w:sz w:val="32"/>
          <w:szCs w:val="32"/>
        </w:rPr>
        <w:t>0</w:t>
      </w:r>
      <w:r>
        <w:rPr>
          <w:rFonts w:ascii="仿宋" w:eastAsia="仿宋" w:hAnsi="仿宋" w:cs="仿宋_GB2312" w:hint="eastAsia"/>
          <w:kern w:val="0"/>
          <w:sz w:val="32"/>
          <w:szCs w:val="32"/>
        </w:rPr>
        <w:t>辆、一般公务用车</w:t>
      </w:r>
      <w:r>
        <w:rPr>
          <w:rFonts w:ascii="仿宋" w:eastAsia="仿宋" w:hAnsi="仿宋" w:cs="仿宋_GB2312" w:hint="eastAsia"/>
          <w:sz w:val="32"/>
          <w:szCs w:val="32"/>
        </w:rPr>
        <w:t>0</w:t>
      </w:r>
      <w:r>
        <w:rPr>
          <w:rFonts w:ascii="仿宋" w:eastAsia="仿宋" w:hAnsi="仿宋" w:cs="仿宋_GB2312" w:hint="eastAsia"/>
          <w:kern w:val="0"/>
          <w:sz w:val="32"/>
          <w:szCs w:val="32"/>
        </w:rPr>
        <w:t>辆、一般执法执勤用车</w:t>
      </w:r>
      <w:r>
        <w:rPr>
          <w:rFonts w:ascii="仿宋" w:eastAsia="仿宋" w:hAnsi="仿宋" w:cs="仿宋_GB2312" w:hint="eastAsia"/>
          <w:sz w:val="32"/>
          <w:szCs w:val="32"/>
        </w:rPr>
        <w:t>9</w:t>
      </w:r>
      <w:r>
        <w:rPr>
          <w:rFonts w:ascii="仿宋" w:eastAsia="仿宋" w:hAnsi="仿宋" w:cs="仿宋_GB2312" w:hint="eastAsia"/>
          <w:kern w:val="0"/>
          <w:sz w:val="32"/>
          <w:szCs w:val="32"/>
        </w:rPr>
        <w:t>辆、特种专业技术用车</w:t>
      </w:r>
      <w:r>
        <w:rPr>
          <w:rFonts w:ascii="仿宋" w:eastAsia="仿宋" w:hAnsi="仿宋" w:cs="仿宋_GB2312" w:hint="eastAsia"/>
          <w:sz w:val="32"/>
          <w:szCs w:val="32"/>
        </w:rPr>
        <w:t>0</w:t>
      </w:r>
      <w:r>
        <w:rPr>
          <w:rFonts w:ascii="仿宋" w:eastAsia="仿宋" w:hAnsi="仿宋" w:cs="仿宋_GB2312" w:hint="eastAsia"/>
          <w:kern w:val="0"/>
          <w:sz w:val="32"/>
          <w:szCs w:val="32"/>
        </w:rPr>
        <w:t>辆、其他用车</w:t>
      </w:r>
      <w:r>
        <w:rPr>
          <w:rFonts w:ascii="仿宋" w:eastAsia="仿宋" w:hAnsi="仿宋" w:cs="仿宋_GB2312" w:hint="eastAsia"/>
          <w:sz w:val="32"/>
          <w:szCs w:val="32"/>
        </w:rPr>
        <w:t>0</w:t>
      </w:r>
      <w:r>
        <w:rPr>
          <w:rFonts w:ascii="仿宋" w:eastAsia="仿宋" w:hAnsi="仿宋" w:cs="仿宋_GB2312" w:hint="eastAsia"/>
          <w:kern w:val="0"/>
          <w:sz w:val="32"/>
          <w:szCs w:val="32"/>
        </w:rPr>
        <w:t>辆；单价</w:t>
      </w:r>
      <w:r>
        <w:rPr>
          <w:rFonts w:ascii="仿宋" w:eastAsia="仿宋" w:hAnsi="仿宋" w:cs="仿宋_GB2312"/>
          <w:kern w:val="0"/>
          <w:sz w:val="32"/>
          <w:szCs w:val="32"/>
        </w:rPr>
        <w:t>50万元（含）以上通用设备</w:t>
      </w:r>
      <w:r>
        <w:rPr>
          <w:rFonts w:ascii="仿宋" w:eastAsia="仿宋" w:hAnsi="仿宋" w:cs="仿宋_GB2312" w:hint="eastAsia"/>
          <w:sz w:val="32"/>
          <w:szCs w:val="32"/>
        </w:rPr>
        <w:t>0</w:t>
      </w:r>
      <w:r>
        <w:rPr>
          <w:rFonts w:ascii="仿宋" w:eastAsia="仿宋" w:hAnsi="仿宋" w:cs="仿宋_GB2312" w:hint="eastAsia"/>
          <w:kern w:val="0"/>
          <w:sz w:val="32"/>
          <w:szCs w:val="32"/>
        </w:rPr>
        <w:t>台（套），单价</w:t>
      </w:r>
      <w:r>
        <w:rPr>
          <w:rFonts w:ascii="仿宋" w:eastAsia="仿宋" w:hAnsi="仿宋" w:cs="仿宋_GB2312"/>
          <w:kern w:val="0"/>
          <w:sz w:val="32"/>
          <w:szCs w:val="32"/>
        </w:rPr>
        <w:t>100万元（含）以上专用设备</w:t>
      </w:r>
      <w:r>
        <w:rPr>
          <w:rFonts w:ascii="仿宋" w:eastAsia="仿宋" w:hAnsi="仿宋" w:cs="仿宋_GB2312" w:hint="eastAsia"/>
          <w:sz w:val="32"/>
          <w:szCs w:val="32"/>
        </w:rPr>
        <w:t>0</w:t>
      </w:r>
      <w:r>
        <w:rPr>
          <w:rFonts w:ascii="仿宋" w:eastAsia="仿宋" w:hAnsi="仿宋" w:cs="仿宋_GB2312" w:hint="eastAsia"/>
          <w:kern w:val="0"/>
          <w:sz w:val="32"/>
          <w:szCs w:val="32"/>
        </w:rPr>
        <w:t>台（套）。</w:t>
      </w:r>
    </w:p>
    <w:p w:rsidR="008C4A8E" w:rsidRDefault="001A2669">
      <w:pPr>
        <w:tabs>
          <w:tab w:val="left" w:pos="7513"/>
        </w:tabs>
        <w:adjustRightInd w:val="0"/>
        <w:snapToGrid w:val="0"/>
        <w:spacing w:line="600" w:lineRule="exact"/>
        <w:ind w:firstLineChars="220" w:firstLine="707"/>
        <w:rPr>
          <w:rFonts w:ascii="楷体" w:eastAsia="楷体" w:hAnsi="楷体" w:cs="仿宋_GB2312"/>
          <w:b/>
          <w:bCs/>
          <w:sz w:val="32"/>
          <w:szCs w:val="32"/>
        </w:rPr>
      </w:pPr>
      <w:r>
        <w:rPr>
          <w:rFonts w:ascii="楷体" w:eastAsia="楷体" w:hAnsi="楷体" w:hint="eastAsia"/>
          <w:b/>
          <w:sz w:val="32"/>
          <w:szCs w:val="32"/>
        </w:rPr>
        <w:t>（四）</w:t>
      </w:r>
      <w:r>
        <w:rPr>
          <w:rFonts w:ascii="楷体" w:eastAsia="楷体" w:hAnsi="楷体" w:cs="仿宋_GB2312" w:hint="eastAsia"/>
          <w:b/>
          <w:bCs/>
          <w:sz w:val="32"/>
          <w:szCs w:val="32"/>
        </w:rPr>
        <w:t>项目绩效自评报告</w:t>
      </w:r>
    </w:p>
    <w:p w:rsidR="008C4A8E" w:rsidRDefault="001A2669">
      <w:pPr>
        <w:autoSpaceDE w:val="0"/>
        <w:autoSpaceDN w:val="0"/>
        <w:adjustRightInd w:val="0"/>
        <w:ind w:left="200" w:firstLineChars="200" w:firstLine="640"/>
        <w:jc w:val="left"/>
      </w:pPr>
      <w:r>
        <w:rPr>
          <w:rFonts w:ascii="仿宋" w:eastAsia="仿宋" w:hAnsi="仿宋" w:cs="仿宋_GB2312" w:hint="eastAsia"/>
          <w:sz w:val="32"/>
          <w:szCs w:val="32"/>
        </w:rPr>
        <w:t>按照绩效处</w:t>
      </w:r>
      <w:r>
        <w:rPr>
          <w:rFonts w:ascii="仿宋" w:eastAsia="仿宋" w:hAnsi="仿宋" w:cs="仿宋_GB2312"/>
          <w:sz w:val="32"/>
          <w:szCs w:val="32"/>
        </w:rPr>
        <w:t>要求，公开项目概况、评价过程及绩效分析、存在问题和有关建议</w:t>
      </w:r>
      <w:r>
        <w:rPr>
          <w:rFonts w:ascii="仿宋" w:eastAsia="仿宋" w:hAnsi="仿宋" w:cs="仿宋_GB2312" w:hint="eastAsia"/>
          <w:sz w:val="32"/>
          <w:szCs w:val="32"/>
        </w:rPr>
        <w:t>详见附件</w:t>
      </w:r>
      <w:r>
        <w:rPr>
          <w:rFonts w:ascii="仿宋" w:eastAsia="仿宋" w:hAnsi="仿宋" w:cs="仿宋_GB2312"/>
          <w:sz w:val="32"/>
          <w:szCs w:val="32"/>
        </w:rPr>
        <w:t>。</w:t>
      </w:r>
      <w:r>
        <w:rPr>
          <w:rFonts w:ascii="仿宋" w:eastAsia="仿宋" w:hAnsi="仿宋" w:cs="仿宋_GB2312"/>
          <w:bCs/>
          <w:sz w:val="32"/>
          <w:szCs w:val="32"/>
        </w:rPr>
        <w:br/>
      </w:r>
      <w:r>
        <w:rPr>
          <w:rFonts w:ascii="黑体" w:eastAsia="黑体" w:hAnsi="黑体" w:cs="仿宋_GB2312" w:hint="eastAsia"/>
          <w:kern w:val="0"/>
          <w:sz w:val="32"/>
          <w:szCs w:val="32"/>
        </w:rPr>
        <w:t>十、名词解</w:t>
      </w:r>
    </w:p>
    <w:p w:rsidR="008C4A8E" w:rsidRDefault="001A2669">
      <w:pPr>
        <w:spacing w:line="600" w:lineRule="exact"/>
        <w:ind w:firstLineChars="221" w:firstLine="707"/>
        <w:rPr>
          <w:rFonts w:ascii="仿宋" w:eastAsia="仿宋" w:hAnsi="仿宋" w:cs="仿宋"/>
          <w:color w:val="000000"/>
          <w:kern w:val="0"/>
          <w:sz w:val="32"/>
          <w:szCs w:val="32"/>
        </w:rPr>
      </w:pPr>
      <w:r>
        <w:rPr>
          <w:rFonts w:ascii="仿宋" w:eastAsia="仿宋" w:hAnsi="仿宋" w:cs="仿宋" w:hint="eastAsia"/>
          <w:color w:val="000000"/>
          <w:kern w:val="0"/>
          <w:sz w:val="32"/>
          <w:szCs w:val="32"/>
        </w:rPr>
        <w:t xml:space="preserve">（一）财政拨款收入：指区级财政当年拨付的资金。 </w:t>
      </w:r>
    </w:p>
    <w:p w:rsidR="008C4A8E" w:rsidRDefault="001A2669">
      <w:pPr>
        <w:spacing w:line="600" w:lineRule="exact"/>
        <w:ind w:firstLineChars="221" w:firstLine="707"/>
        <w:rPr>
          <w:rFonts w:ascii="仿宋" w:eastAsia="仿宋" w:hAnsi="仿宋" w:cs="仿宋"/>
          <w:color w:val="000000"/>
          <w:kern w:val="0"/>
          <w:sz w:val="32"/>
          <w:szCs w:val="32"/>
        </w:rPr>
      </w:pPr>
      <w:r>
        <w:rPr>
          <w:rFonts w:ascii="仿宋" w:eastAsia="仿宋" w:hAnsi="仿宋" w:cs="仿宋" w:hint="eastAsia"/>
          <w:color w:val="000000"/>
          <w:kern w:val="0"/>
          <w:sz w:val="32"/>
          <w:szCs w:val="32"/>
        </w:rPr>
        <w:t>（二）事业收入：指事业单位开展专业业务活动及辅助活动所取得的收入。</w:t>
      </w:r>
    </w:p>
    <w:p w:rsidR="008C4A8E" w:rsidRDefault="001A2669">
      <w:pPr>
        <w:spacing w:line="600" w:lineRule="exact"/>
        <w:ind w:firstLineChars="221" w:firstLine="707"/>
        <w:rPr>
          <w:rFonts w:ascii="仿宋" w:eastAsia="仿宋" w:hAnsi="仿宋" w:cs="仿宋"/>
          <w:color w:val="000000"/>
          <w:kern w:val="0"/>
          <w:sz w:val="32"/>
          <w:szCs w:val="32"/>
        </w:rPr>
      </w:pPr>
      <w:r>
        <w:rPr>
          <w:rFonts w:ascii="仿宋" w:eastAsia="仿宋" w:hAnsi="仿宋" w:cs="仿宋" w:hint="eastAsia"/>
          <w:color w:val="000000"/>
          <w:kern w:val="0"/>
          <w:sz w:val="32"/>
          <w:szCs w:val="32"/>
        </w:rPr>
        <w:t xml:space="preserve">（三）经营收入：指事业单位在专业业务活动及其辅助活动之外开展非独立核算经营活动取得的收入。 </w:t>
      </w:r>
    </w:p>
    <w:p w:rsidR="008C4A8E" w:rsidRDefault="001A2669">
      <w:pPr>
        <w:spacing w:line="600" w:lineRule="exact"/>
        <w:ind w:firstLineChars="221" w:firstLine="707"/>
        <w:rPr>
          <w:rFonts w:ascii="仿宋" w:eastAsia="仿宋" w:hAnsi="仿宋" w:cs="仿宋"/>
          <w:color w:val="000000"/>
          <w:kern w:val="0"/>
          <w:sz w:val="32"/>
          <w:szCs w:val="32"/>
        </w:rPr>
      </w:pPr>
      <w:r>
        <w:rPr>
          <w:rFonts w:ascii="仿宋" w:eastAsia="仿宋" w:hAnsi="仿宋" w:cs="仿宋" w:hint="eastAsia"/>
          <w:color w:val="000000"/>
          <w:kern w:val="0"/>
          <w:sz w:val="32"/>
          <w:szCs w:val="32"/>
        </w:rPr>
        <w:t>（四）其他收入：指除上述</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财政拨款收入</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事业收入</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经营收入</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 xml:space="preserve">等以外的收入。主要是按规定动用的售房收入、存款利息收入等。 </w:t>
      </w:r>
      <w:bookmarkStart w:id="0" w:name="_GoBack"/>
      <w:bookmarkEnd w:id="0"/>
    </w:p>
    <w:p w:rsidR="008C4A8E" w:rsidRDefault="001A2669">
      <w:pPr>
        <w:spacing w:line="600" w:lineRule="exact"/>
        <w:ind w:firstLineChars="221" w:firstLine="707"/>
        <w:rPr>
          <w:rFonts w:ascii="仿宋" w:eastAsia="仿宋" w:hAnsi="仿宋" w:cs="仿宋"/>
          <w:color w:val="000000"/>
          <w:kern w:val="0"/>
          <w:sz w:val="32"/>
          <w:szCs w:val="32"/>
        </w:rPr>
      </w:pPr>
      <w:r>
        <w:rPr>
          <w:rFonts w:ascii="仿宋" w:eastAsia="仿宋" w:hAnsi="仿宋" w:cs="仿宋" w:hint="eastAsia"/>
          <w:color w:val="000000"/>
          <w:kern w:val="0"/>
          <w:sz w:val="32"/>
          <w:szCs w:val="32"/>
        </w:rPr>
        <w:t>（五）用事业基金弥补收支差额：指事业单位在当年的</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财政拨款收入</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事业收入</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经营收入</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其他收入</w:t>
      </w:r>
      <w:r>
        <w:rPr>
          <w:rFonts w:ascii="仿宋" w:eastAsia="仿宋" w:hAnsi="仿宋" w:cs="仿宋"/>
          <w:color w:val="000000"/>
          <w:kern w:val="0"/>
          <w:sz w:val="32"/>
          <w:szCs w:val="32"/>
        </w:rPr>
        <w:t>”</w:t>
      </w:r>
      <w:r>
        <w:rPr>
          <w:rFonts w:ascii="仿宋" w:eastAsia="仿宋" w:hAnsi="仿宋" w:cs="仿宋" w:hint="eastAsia"/>
          <w:color w:val="000000"/>
          <w:kern w:val="0"/>
          <w:sz w:val="32"/>
          <w:szCs w:val="32"/>
        </w:rPr>
        <w:t xml:space="preserve">不足以安排当年支出的情况下，使用以前年度积累的事业基金（事业单位当年收支相抵后按国家规定提取、用于弥补以后年度收支差额的基金）弥补本年度收支缺口的资金。 </w:t>
      </w:r>
    </w:p>
    <w:p w:rsidR="008C4A8E" w:rsidRDefault="001A2669">
      <w:pPr>
        <w:spacing w:line="600" w:lineRule="exact"/>
        <w:ind w:firstLineChars="221" w:firstLine="707"/>
        <w:rPr>
          <w:rFonts w:ascii="仿宋" w:eastAsia="仿宋" w:hAnsi="仿宋" w:cs="仿宋"/>
          <w:color w:val="000000"/>
          <w:kern w:val="0"/>
          <w:sz w:val="32"/>
          <w:szCs w:val="32"/>
        </w:rPr>
      </w:pPr>
      <w:r>
        <w:rPr>
          <w:rFonts w:ascii="仿宋" w:eastAsia="仿宋" w:hAnsi="仿宋" w:cs="仿宋" w:hint="eastAsia"/>
          <w:color w:val="000000"/>
          <w:kern w:val="0"/>
          <w:sz w:val="32"/>
          <w:szCs w:val="32"/>
        </w:rPr>
        <w:t>（六）年初结转和结余：指以前年度尚未完成、结转到</w:t>
      </w:r>
      <w:r>
        <w:rPr>
          <w:rFonts w:ascii="仿宋" w:eastAsia="仿宋" w:hAnsi="仿宋" w:cs="仿宋" w:hint="eastAsia"/>
          <w:color w:val="000000"/>
          <w:kern w:val="0"/>
          <w:sz w:val="32"/>
          <w:szCs w:val="32"/>
        </w:rPr>
        <w:lastRenderedPageBreak/>
        <w:t>本年按有关规定继续使用的资金。</w:t>
      </w:r>
    </w:p>
    <w:p w:rsidR="008C4A8E" w:rsidRDefault="001A2669">
      <w:pPr>
        <w:pStyle w:val="Default"/>
        <w:spacing w:line="600" w:lineRule="exact"/>
        <w:ind w:firstLine="640"/>
        <w:rPr>
          <w:rFonts w:hAnsi="仿宋"/>
          <w:sz w:val="32"/>
          <w:szCs w:val="32"/>
        </w:rPr>
      </w:pPr>
      <w:r>
        <w:rPr>
          <w:rFonts w:hAnsi="仿宋" w:hint="eastAsia"/>
          <w:sz w:val="32"/>
          <w:szCs w:val="32"/>
        </w:rPr>
        <w:t xml:space="preserve">（七）结余分配：指事业单位按规定提取的职工福利基金、事业基金和缴纳的所得税，以及建设单位按规定应交回的基本建设竣工项目结余资金。 </w:t>
      </w:r>
    </w:p>
    <w:p w:rsidR="008C4A8E" w:rsidRDefault="001A2669">
      <w:pPr>
        <w:pStyle w:val="Default"/>
        <w:spacing w:line="600" w:lineRule="exact"/>
        <w:ind w:firstLine="640"/>
        <w:rPr>
          <w:rFonts w:hAnsi="仿宋"/>
          <w:sz w:val="32"/>
          <w:szCs w:val="32"/>
        </w:rPr>
      </w:pPr>
      <w:r>
        <w:rPr>
          <w:rFonts w:hAnsi="仿宋" w:hint="eastAsia"/>
          <w:sz w:val="32"/>
          <w:szCs w:val="32"/>
        </w:rPr>
        <w:t xml:space="preserve">（八）年末结转和结余：指本年度或以前年度预算安排、因客观条件发生变化无法按原计划实施，需延迟到以后年度按有关规定继续使用的资金。 </w:t>
      </w:r>
    </w:p>
    <w:p w:rsidR="008C4A8E" w:rsidRDefault="001A2669">
      <w:pPr>
        <w:pStyle w:val="Default"/>
        <w:spacing w:line="600" w:lineRule="exact"/>
        <w:ind w:firstLine="640"/>
        <w:rPr>
          <w:rFonts w:hAnsi="仿宋"/>
          <w:sz w:val="32"/>
          <w:szCs w:val="32"/>
        </w:rPr>
      </w:pPr>
      <w:r>
        <w:rPr>
          <w:rFonts w:hAnsi="仿宋" w:hint="eastAsia"/>
          <w:sz w:val="32"/>
          <w:szCs w:val="32"/>
        </w:rPr>
        <w:t xml:space="preserve">（九）基本支出：指为保障机构正常运转、完成日常工作任务而发生的人员支出和公用支出。 </w:t>
      </w:r>
    </w:p>
    <w:p w:rsidR="008C4A8E" w:rsidRDefault="001A2669">
      <w:pPr>
        <w:pStyle w:val="Default"/>
        <w:spacing w:line="600" w:lineRule="exact"/>
        <w:ind w:firstLine="640"/>
        <w:rPr>
          <w:rFonts w:hAnsi="仿宋"/>
          <w:sz w:val="32"/>
          <w:szCs w:val="32"/>
        </w:rPr>
      </w:pPr>
      <w:r>
        <w:rPr>
          <w:rFonts w:hAnsi="仿宋" w:hint="eastAsia"/>
          <w:sz w:val="32"/>
          <w:szCs w:val="32"/>
        </w:rPr>
        <w:t xml:space="preserve">（十）项目支出：指在基本支出之外为完成特定行政任务和事业发展目标所发生的支出。 </w:t>
      </w:r>
    </w:p>
    <w:p w:rsidR="008C4A8E" w:rsidRDefault="001A2669">
      <w:pPr>
        <w:pStyle w:val="Default"/>
        <w:spacing w:line="600" w:lineRule="exact"/>
        <w:ind w:firstLine="640"/>
        <w:rPr>
          <w:rFonts w:hAnsi="仿宋"/>
          <w:sz w:val="32"/>
          <w:szCs w:val="32"/>
        </w:rPr>
      </w:pPr>
      <w:r>
        <w:rPr>
          <w:rFonts w:hAnsi="仿宋" w:hint="eastAsia"/>
          <w:sz w:val="32"/>
          <w:szCs w:val="32"/>
        </w:rPr>
        <w:t xml:space="preserve">（十一）经营支出：指事业单位在专业业务活动及其辅助活动之外开展非独立核算经营活动发生的支出。 </w:t>
      </w:r>
    </w:p>
    <w:p w:rsidR="008C4A8E" w:rsidRDefault="001A2669">
      <w:pPr>
        <w:pStyle w:val="Default"/>
        <w:spacing w:line="600" w:lineRule="exact"/>
        <w:ind w:firstLine="640"/>
        <w:rPr>
          <w:rFonts w:hAnsi="仿宋"/>
          <w:sz w:val="32"/>
          <w:szCs w:val="32"/>
        </w:rPr>
      </w:pPr>
      <w:r>
        <w:rPr>
          <w:rFonts w:hAnsi="仿宋" w:hint="eastAsia"/>
          <w:sz w:val="32"/>
          <w:szCs w:val="32"/>
        </w:rPr>
        <w:t>（十二）</w:t>
      </w:r>
      <w:r>
        <w:rPr>
          <w:rFonts w:hAnsi="仿宋"/>
          <w:sz w:val="32"/>
          <w:szCs w:val="32"/>
        </w:rPr>
        <w:t>“</w:t>
      </w:r>
      <w:r>
        <w:rPr>
          <w:rFonts w:hAnsi="仿宋" w:hint="eastAsia"/>
          <w:sz w:val="32"/>
          <w:szCs w:val="32"/>
        </w:rPr>
        <w:t>三公</w:t>
      </w:r>
      <w:r>
        <w:rPr>
          <w:rFonts w:hAnsi="仿宋"/>
          <w:sz w:val="32"/>
          <w:szCs w:val="32"/>
        </w:rPr>
        <w:t>”</w:t>
      </w:r>
      <w:r>
        <w:rPr>
          <w:rFonts w:hAnsi="仿宋" w:hint="eastAsia"/>
          <w:sz w:val="32"/>
          <w:szCs w:val="32"/>
        </w:rPr>
        <w:t>经费：纳入区级财政预决算管理的</w:t>
      </w:r>
      <w:r>
        <w:rPr>
          <w:rFonts w:hAnsi="仿宋"/>
          <w:sz w:val="32"/>
          <w:szCs w:val="32"/>
        </w:rPr>
        <w:t>“</w:t>
      </w:r>
      <w:r>
        <w:rPr>
          <w:rFonts w:hAnsi="仿宋" w:hint="eastAsia"/>
          <w:sz w:val="32"/>
          <w:szCs w:val="32"/>
        </w:rPr>
        <w:t>三公</w:t>
      </w:r>
      <w:r>
        <w:rPr>
          <w:rFonts w:hAnsi="仿宋"/>
          <w:sz w:val="32"/>
          <w:szCs w:val="32"/>
        </w:rPr>
        <w:t>”</w:t>
      </w:r>
      <w:r>
        <w:rPr>
          <w:rFonts w:hAnsi="仿宋" w:hint="eastAsia"/>
          <w:sz w:val="32"/>
          <w:szCs w:val="32"/>
        </w:rPr>
        <w:t xml:space="preserve">经费，是指区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rsidR="008C4A8E" w:rsidRDefault="001A2669">
      <w:pPr>
        <w:spacing w:line="600" w:lineRule="exact"/>
        <w:ind w:firstLineChars="200" w:firstLine="640"/>
        <w:rPr>
          <w:rFonts w:ascii="仿宋" w:eastAsia="仿宋" w:hAnsi="仿宋"/>
          <w:sz w:val="32"/>
          <w:szCs w:val="32"/>
        </w:rPr>
      </w:pPr>
      <w:r>
        <w:rPr>
          <w:rFonts w:ascii="仿宋" w:eastAsia="仿宋" w:hAnsi="仿宋" w:hint="eastAsia"/>
          <w:sz w:val="32"/>
          <w:szCs w:val="32"/>
        </w:rPr>
        <w:t>（十三）机关运行经费：为保障行政单位（含参照公务</w:t>
      </w:r>
      <w:r>
        <w:rPr>
          <w:rFonts w:ascii="仿宋" w:eastAsia="仿宋" w:hAnsi="仿宋" w:hint="eastAsia"/>
          <w:sz w:val="32"/>
          <w:szCs w:val="32"/>
        </w:rPr>
        <w:lastRenderedPageBreak/>
        <w:t>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C4A8E" w:rsidRDefault="008C4A8E">
      <w:pPr>
        <w:spacing w:line="600" w:lineRule="exact"/>
        <w:ind w:firstLineChars="200" w:firstLine="640"/>
        <w:rPr>
          <w:rFonts w:ascii="仿宋" w:eastAsia="仿宋" w:hAnsi="仿宋"/>
          <w:sz w:val="32"/>
          <w:szCs w:val="32"/>
        </w:rPr>
      </w:pPr>
    </w:p>
    <w:p w:rsidR="008C4A8E" w:rsidRDefault="001A2669">
      <w:pPr>
        <w:spacing w:line="600" w:lineRule="exact"/>
        <w:ind w:firstLineChars="200" w:firstLine="584"/>
        <w:rPr>
          <w:rFonts w:ascii="仿宋" w:eastAsia="仿宋" w:hAnsi="仿宋"/>
          <w:spacing w:val="-14"/>
          <w:sz w:val="32"/>
          <w:szCs w:val="32"/>
        </w:rPr>
      </w:pPr>
      <w:r>
        <w:rPr>
          <w:rFonts w:ascii="仿宋" w:eastAsia="仿宋" w:hAnsi="仿宋" w:hint="eastAsia"/>
          <w:spacing w:val="-14"/>
          <w:sz w:val="32"/>
          <w:szCs w:val="32"/>
        </w:rPr>
        <w:t>附表：</w:t>
      </w:r>
      <w:r>
        <w:rPr>
          <w:rFonts w:ascii="仿宋" w:eastAsia="仿宋" w:hAnsi="仿宋"/>
          <w:spacing w:val="-14"/>
          <w:sz w:val="32"/>
          <w:szCs w:val="32"/>
        </w:rPr>
        <w:t>4-1 2017年度收支决算总表</w:t>
      </w:r>
    </w:p>
    <w:p w:rsidR="008C4A8E" w:rsidRDefault="001A2669">
      <w:pPr>
        <w:spacing w:line="600" w:lineRule="exact"/>
        <w:ind w:firstLineChars="500" w:firstLine="1460"/>
        <w:rPr>
          <w:rFonts w:ascii="仿宋" w:eastAsia="仿宋" w:hAnsi="仿宋"/>
          <w:spacing w:val="-14"/>
          <w:sz w:val="32"/>
          <w:szCs w:val="32"/>
        </w:rPr>
      </w:pPr>
      <w:r>
        <w:rPr>
          <w:rFonts w:ascii="仿宋" w:eastAsia="仿宋" w:hAnsi="仿宋"/>
          <w:spacing w:val="-14"/>
          <w:sz w:val="32"/>
          <w:szCs w:val="32"/>
        </w:rPr>
        <w:t>4-2 2017年度收入决算表</w:t>
      </w:r>
    </w:p>
    <w:p w:rsidR="008C4A8E" w:rsidRDefault="001A2669">
      <w:pPr>
        <w:spacing w:line="600" w:lineRule="exact"/>
        <w:ind w:firstLineChars="500" w:firstLine="1460"/>
        <w:rPr>
          <w:rFonts w:ascii="仿宋" w:eastAsia="仿宋" w:hAnsi="仿宋"/>
          <w:spacing w:val="-14"/>
          <w:sz w:val="32"/>
          <w:szCs w:val="32"/>
        </w:rPr>
      </w:pPr>
      <w:r>
        <w:rPr>
          <w:rFonts w:ascii="仿宋" w:eastAsia="仿宋" w:hAnsi="仿宋"/>
          <w:spacing w:val="-14"/>
          <w:sz w:val="32"/>
          <w:szCs w:val="32"/>
        </w:rPr>
        <w:t>4-3 2017年度支出决算表</w:t>
      </w:r>
    </w:p>
    <w:p w:rsidR="008C4A8E" w:rsidRDefault="001A2669">
      <w:pPr>
        <w:spacing w:line="600" w:lineRule="exact"/>
        <w:ind w:firstLineChars="500" w:firstLine="1460"/>
        <w:rPr>
          <w:rFonts w:ascii="仿宋" w:eastAsia="仿宋" w:hAnsi="仿宋"/>
          <w:spacing w:val="-14"/>
          <w:sz w:val="32"/>
          <w:szCs w:val="32"/>
        </w:rPr>
      </w:pPr>
      <w:r>
        <w:rPr>
          <w:rFonts w:ascii="仿宋" w:eastAsia="仿宋" w:hAnsi="仿宋"/>
          <w:spacing w:val="-14"/>
          <w:sz w:val="32"/>
          <w:szCs w:val="32"/>
        </w:rPr>
        <w:t>4-4 2017年度财政拨款收支决算总表</w:t>
      </w:r>
    </w:p>
    <w:p w:rsidR="008C4A8E" w:rsidRDefault="001A2669">
      <w:pPr>
        <w:spacing w:line="600" w:lineRule="exact"/>
        <w:ind w:firstLineChars="500" w:firstLine="1460"/>
        <w:rPr>
          <w:rFonts w:ascii="仿宋" w:eastAsia="仿宋" w:hAnsi="仿宋"/>
          <w:spacing w:val="-14"/>
          <w:sz w:val="32"/>
          <w:szCs w:val="32"/>
        </w:rPr>
      </w:pPr>
      <w:r>
        <w:rPr>
          <w:rFonts w:ascii="仿宋" w:eastAsia="仿宋" w:hAnsi="仿宋"/>
          <w:spacing w:val="-14"/>
          <w:sz w:val="32"/>
          <w:szCs w:val="32"/>
        </w:rPr>
        <w:t>4-5 2017年度一般公共财政拨款支出决算表</w:t>
      </w:r>
    </w:p>
    <w:p w:rsidR="008C4A8E" w:rsidRDefault="001A2669">
      <w:pPr>
        <w:spacing w:line="600" w:lineRule="exact"/>
        <w:ind w:firstLineChars="500" w:firstLine="1460"/>
        <w:rPr>
          <w:rFonts w:ascii="仿宋" w:eastAsia="仿宋" w:hAnsi="仿宋"/>
          <w:spacing w:val="-14"/>
          <w:sz w:val="32"/>
          <w:szCs w:val="32"/>
        </w:rPr>
      </w:pPr>
      <w:r>
        <w:rPr>
          <w:rFonts w:ascii="仿宋" w:eastAsia="仿宋" w:hAnsi="仿宋"/>
          <w:spacing w:val="-14"/>
          <w:sz w:val="32"/>
          <w:szCs w:val="32"/>
        </w:rPr>
        <w:t>4-6 2017年度一般公共预算支出经济分类决算情况表</w:t>
      </w:r>
    </w:p>
    <w:p w:rsidR="008C4A8E" w:rsidRDefault="001A2669">
      <w:pPr>
        <w:spacing w:line="600" w:lineRule="exact"/>
        <w:ind w:firstLineChars="550" w:firstLine="1496"/>
        <w:rPr>
          <w:rFonts w:ascii="仿宋" w:eastAsia="仿宋" w:hAnsi="仿宋"/>
          <w:spacing w:val="-24"/>
          <w:sz w:val="32"/>
          <w:szCs w:val="32"/>
        </w:rPr>
      </w:pPr>
      <w:r>
        <w:rPr>
          <w:rFonts w:ascii="仿宋" w:eastAsia="仿宋" w:hAnsi="仿宋"/>
          <w:spacing w:val="-24"/>
          <w:sz w:val="32"/>
          <w:szCs w:val="32"/>
        </w:rPr>
        <w:t>4-7 2017年度一般公共预算基本支出经济分类决算情况表</w:t>
      </w:r>
    </w:p>
    <w:p w:rsidR="008C4A8E" w:rsidRDefault="001A2669">
      <w:pPr>
        <w:spacing w:line="600" w:lineRule="exact"/>
        <w:ind w:firstLineChars="500" w:firstLine="1460"/>
        <w:rPr>
          <w:rFonts w:ascii="仿宋" w:eastAsia="仿宋" w:hAnsi="仿宋"/>
          <w:spacing w:val="-14"/>
          <w:sz w:val="32"/>
          <w:szCs w:val="32"/>
        </w:rPr>
      </w:pPr>
      <w:r>
        <w:rPr>
          <w:rFonts w:ascii="仿宋" w:eastAsia="仿宋" w:hAnsi="仿宋"/>
          <w:spacing w:val="-14"/>
          <w:sz w:val="32"/>
          <w:szCs w:val="32"/>
        </w:rPr>
        <w:t>4-8 2017年度政府性基金支出决算表</w:t>
      </w:r>
    </w:p>
    <w:p w:rsidR="008C4A8E" w:rsidRDefault="001A2669">
      <w:pPr>
        <w:spacing w:line="600" w:lineRule="exact"/>
        <w:ind w:firstLineChars="500" w:firstLine="1460"/>
        <w:rPr>
          <w:rFonts w:ascii="仿宋" w:eastAsia="仿宋" w:hAnsi="仿宋"/>
          <w:spacing w:val="-14"/>
          <w:sz w:val="32"/>
          <w:szCs w:val="32"/>
        </w:rPr>
      </w:pPr>
      <w:r>
        <w:rPr>
          <w:rFonts w:ascii="仿宋" w:eastAsia="仿宋" w:hAnsi="仿宋"/>
          <w:spacing w:val="-14"/>
          <w:sz w:val="32"/>
          <w:szCs w:val="32"/>
        </w:rPr>
        <w:t>4-9 2017年度部门决算相关信息统计表</w:t>
      </w:r>
    </w:p>
    <w:p w:rsidR="008C4A8E" w:rsidRDefault="001A2669">
      <w:pPr>
        <w:tabs>
          <w:tab w:val="left" w:pos="6140"/>
        </w:tabs>
        <w:spacing w:line="600" w:lineRule="exact"/>
        <w:ind w:firstLineChars="500" w:firstLine="1460"/>
        <w:rPr>
          <w:rFonts w:ascii="仿宋" w:eastAsia="仿宋" w:hAnsi="仿宋"/>
          <w:spacing w:val="-14"/>
          <w:sz w:val="32"/>
          <w:szCs w:val="32"/>
        </w:rPr>
      </w:pPr>
      <w:r>
        <w:rPr>
          <w:rFonts w:ascii="仿宋" w:eastAsia="仿宋" w:hAnsi="仿宋"/>
          <w:spacing w:val="-14"/>
          <w:sz w:val="32"/>
          <w:szCs w:val="32"/>
        </w:rPr>
        <w:t>4-10 2017年度政府采购情况表</w:t>
      </w:r>
      <w:r>
        <w:rPr>
          <w:rFonts w:ascii="仿宋" w:eastAsia="仿宋" w:hAnsi="仿宋"/>
          <w:spacing w:val="-14"/>
          <w:sz w:val="32"/>
          <w:szCs w:val="32"/>
        </w:rPr>
        <w:tab/>
      </w:r>
    </w:p>
    <w:p w:rsidR="008C4A8E" w:rsidRDefault="008C4A8E"/>
    <w:sectPr w:rsidR="008C4A8E" w:rsidSect="008C4A8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FB0" w:rsidRDefault="00AA4FB0" w:rsidP="00387E96">
      <w:r>
        <w:separator/>
      </w:r>
    </w:p>
  </w:endnote>
  <w:endnote w:type="continuationSeparator" w:id="1">
    <w:p w:rsidR="00AA4FB0" w:rsidRDefault="00AA4FB0" w:rsidP="00387E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E96" w:rsidRDefault="00387E9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19654"/>
      <w:docPartObj>
        <w:docPartGallery w:val="Page Numbers (Bottom of Page)"/>
        <w:docPartUnique/>
      </w:docPartObj>
    </w:sdtPr>
    <w:sdtContent>
      <w:p w:rsidR="00387E96" w:rsidRDefault="00387E96" w:rsidP="00387E96">
        <w:pPr>
          <w:pStyle w:val="a5"/>
          <w:jc w:val="center"/>
        </w:pPr>
        <w:fldSimple w:instr=" PAGE   \* MERGEFORMAT ">
          <w:r w:rsidRPr="00387E96">
            <w:rPr>
              <w:noProof/>
              <w:lang w:val="zh-CN"/>
            </w:rPr>
            <w:t>1</w:t>
          </w:r>
        </w:fldSimple>
      </w:p>
    </w:sdtContent>
  </w:sdt>
  <w:p w:rsidR="00387E96" w:rsidRDefault="00387E9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E96" w:rsidRDefault="00387E9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FB0" w:rsidRDefault="00AA4FB0" w:rsidP="00387E96">
      <w:r>
        <w:separator/>
      </w:r>
    </w:p>
  </w:footnote>
  <w:footnote w:type="continuationSeparator" w:id="1">
    <w:p w:rsidR="00AA4FB0" w:rsidRDefault="00AA4FB0" w:rsidP="00387E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E96" w:rsidRDefault="00387E9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E96" w:rsidRDefault="00387E9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E96" w:rsidRDefault="00387E9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1BC8"/>
    <w:rsid w:val="00034424"/>
    <w:rsid w:val="00081E32"/>
    <w:rsid w:val="000D18AD"/>
    <w:rsid w:val="000D3A85"/>
    <w:rsid w:val="00100F81"/>
    <w:rsid w:val="00142895"/>
    <w:rsid w:val="001A2669"/>
    <w:rsid w:val="00265B1C"/>
    <w:rsid w:val="00387E96"/>
    <w:rsid w:val="003D039D"/>
    <w:rsid w:val="004B57F1"/>
    <w:rsid w:val="004E325F"/>
    <w:rsid w:val="004F6C67"/>
    <w:rsid w:val="00507672"/>
    <w:rsid w:val="008C4A8E"/>
    <w:rsid w:val="00A36C2A"/>
    <w:rsid w:val="00A55E26"/>
    <w:rsid w:val="00AA4FB0"/>
    <w:rsid w:val="00AF1BC8"/>
    <w:rsid w:val="00B4220B"/>
    <w:rsid w:val="00B477A5"/>
    <w:rsid w:val="00B70D89"/>
    <w:rsid w:val="00B95C87"/>
    <w:rsid w:val="00BC02C4"/>
    <w:rsid w:val="00BC1C75"/>
    <w:rsid w:val="00C40C93"/>
    <w:rsid w:val="00C45D9D"/>
    <w:rsid w:val="00CA7261"/>
    <w:rsid w:val="00D35AA5"/>
    <w:rsid w:val="00DC0C8D"/>
    <w:rsid w:val="00DC17BE"/>
    <w:rsid w:val="00DE242C"/>
    <w:rsid w:val="00F3046A"/>
    <w:rsid w:val="00FD389F"/>
    <w:rsid w:val="25085F06"/>
    <w:rsid w:val="5E9F3D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A8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8C4A8E"/>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qFormat/>
    <w:rsid w:val="008C4A8E"/>
    <w:pPr>
      <w:widowControl w:val="0"/>
      <w:autoSpaceDE w:val="0"/>
      <w:autoSpaceDN w:val="0"/>
      <w:adjustRightInd w:val="0"/>
    </w:pPr>
    <w:rPr>
      <w:rFonts w:ascii="仿宋" w:eastAsia="仿宋" w:cs="仿宋"/>
      <w:color w:val="000000"/>
      <w:sz w:val="24"/>
      <w:szCs w:val="24"/>
    </w:rPr>
  </w:style>
  <w:style w:type="character" w:customStyle="1" w:styleId="23">
    <w:name w:val="23"/>
    <w:basedOn w:val="a0"/>
    <w:rsid w:val="008C4A8E"/>
    <w:rPr>
      <w:rFonts w:ascii="Times New Roman" w:hAnsi="Times New Roman" w:cs="Times New Roman" w:hint="default"/>
      <w:sz w:val="20"/>
      <w:szCs w:val="20"/>
    </w:rPr>
  </w:style>
  <w:style w:type="paragraph" w:styleId="a4">
    <w:name w:val="header"/>
    <w:basedOn w:val="a"/>
    <w:link w:val="Char"/>
    <w:uiPriority w:val="99"/>
    <w:semiHidden/>
    <w:unhideWhenUsed/>
    <w:rsid w:val="00387E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87E96"/>
    <w:rPr>
      <w:kern w:val="2"/>
      <w:sz w:val="18"/>
      <w:szCs w:val="18"/>
    </w:rPr>
  </w:style>
  <w:style w:type="paragraph" w:styleId="a5">
    <w:name w:val="footer"/>
    <w:basedOn w:val="a"/>
    <w:link w:val="Char0"/>
    <w:uiPriority w:val="99"/>
    <w:unhideWhenUsed/>
    <w:rsid w:val="00387E96"/>
    <w:pPr>
      <w:tabs>
        <w:tab w:val="center" w:pos="4153"/>
        <w:tab w:val="right" w:pos="8306"/>
      </w:tabs>
      <w:snapToGrid w:val="0"/>
      <w:jc w:val="left"/>
    </w:pPr>
    <w:rPr>
      <w:sz w:val="18"/>
      <w:szCs w:val="18"/>
    </w:rPr>
  </w:style>
  <w:style w:type="character" w:customStyle="1" w:styleId="Char0">
    <w:name w:val="页脚 Char"/>
    <w:basedOn w:val="a0"/>
    <w:link w:val="a5"/>
    <w:uiPriority w:val="99"/>
    <w:rsid w:val="00387E9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AC1EAA-1DC4-45D2-9DEE-C74ABC109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719</Words>
  <Characters>4099</Characters>
  <Application>Microsoft Office Word</Application>
  <DocSecurity>0</DocSecurity>
  <Lines>34</Lines>
  <Paragraphs>9</Paragraphs>
  <ScaleCrop>false</ScaleCrop>
  <Company>微软中国</Company>
  <LinksUpToDate>false</LinksUpToDate>
  <CharactersWithSpaces>4809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chenyong</cp:lastModifiedBy>
  <cp:revision>13</cp:revision>
  <dcterms:created xsi:type="dcterms:W3CDTF">2018-08-02T02:48:00Z</dcterms:created>
  <dcterms:modified xsi:type="dcterms:W3CDTF">2019-03-15T09:21:00Z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