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Pr>
          <w:rFonts w:ascii="仿宋" w:hAnsi="仿宋" w:eastAsia="仿宋" w:cs="仿宋"/>
          <w:sz w:val="32"/>
          <w:szCs w:val="32"/>
        </w:rPr>
      </w:pPr>
    </w:p>
    <w:p>
      <w:pPr>
        <w:jc w:val="center"/>
        <w:rPr>
          <w:rFonts w:ascii="宋体" w:cs="仿宋"/>
          <w:b/>
          <w:sz w:val="48"/>
          <w:szCs w:val="48"/>
        </w:rPr>
      </w:pPr>
      <w:r>
        <w:rPr>
          <w:rFonts w:hint="eastAsia" w:ascii="宋体" w:hAnsi="宋体" w:cs="仿宋"/>
          <w:b/>
          <w:sz w:val="48"/>
          <w:szCs w:val="48"/>
        </w:rPr>
        <w:t>参考提纲</w:t>
      </w:r>
    </w:p>
    <w:p>
      <w:pPr>
        <w:jc w:val="center"/>
        <w:rPr>
          <w:rFonts w:ascii="仿宋" w:hAnsi="仿宋" w:eastAsia="仿宋" w:cs="Times New Roman"/>
          <w:sz w:val="32"/>
          <w:szCs w:val="32"/>
        </w:rPr>
      </w:pPr>
      <w:r>
        <w:rPr>
          <w:rFonts w:hint="eastAsia" w:ascii="仿宋" w:hAnsi="仿宋" w:eastAsia="仿宋" w:cs="仿宋"/>
          <w:sz w:val="32"/>
          <w:szCs w:val="32"/>
        </w:rPr>
        <w:t>（正式公文号）</w:t>
      </w:r>
    </w:p>
    <w:p>
      <w:pPr>
        <w:jc w:val="center"/>
        <w:rPr>
          <w:rFonts w:ascii="仿宋" w:hAnsi="仿宋" w:eastAsia="仿宋" w:cs="Times New Roman"/>
          <w:sz w:val="32"/>
          <w:szCs w:val="32"/>
        </w:rPr>
      </w:pPr>
    </w:p>
    <w:p>
      <w:pPr>
        <w:spacing w:line="600" w:lineRule="exact"/>
        <w:jc w:val="center"/>
        <w:rPr>
          <w:rFonts w:hint="eastAsia" w:ascii="方正小标宋简体" w:hAnsi="宋体" w:eastAsia="方正小标宋简体" w:cs="方正小标宋简体"/>
          <w:w w:val="103"/>
          <w:sz w:val="44"/>
          <w:szCs w:val="44"/>
        </w:rPr>
      </w:pPr>
      <w:r>
        <w:rPr>
          <w:rFonts w:hint="eastAsia" w:ascii="方正小标宋简体" w:hAnsi="宋体" w:eastAsia="方正小标宋简体" w:cs="方正小标宋简体"/>
          <w:w w:val="103"/>
          <w:sz w:val="44"/>
          <w:szCs w:val="44"/>
        </w:rPr>
        <w:t>中国共产党龙岩市新罗区委员会办公室</w:t>
      </w:r>
    </w:p>
    <w:p>
      <w:pPr>
        <w:spacing w:line="600" w:lineRule="exact"/>
        <w:jc w:val="center"/>
        <w:rPr>
          <w:rFonts w:hint="eastAsia" w:ascii="方正小标宋简体" w:hAnsi="宋体" w:eastAsia="方正小标宋简体" w:cs="方正小标宋简体"/>
          <w:w w:val="103"/>
          <w:sz w:val="44"/>
          <w:szCs w:val="44"/>
        </w:rPr>
      </w:pPr>
      <w:r>
        <w:rPr>
          <w:rFonts w:hint="eastAsia" w:ascii="方正小标宋简体" w:hAnsi="宋体" w:eastAsia="方正小标宋简体" w:cs="方正小标宋简体"/>
          <w:w w:val="103"/>
          <w:sz w:val="44"/>
          <w:szCs w:val="44"/>
        </w:rPr>
        <w:t>关于</w:t>
      </w:r>
      <w:r>
        <w:rPr>
          <w:rFonts w:ascii="方正小标宋简体" w:hAnsi="宋体" w:eastAsia="方正小标宋简体" w:cs="方正小标宋简体"/>
          <w:w w:val="103"/>
          <w:sz w:val="44"/>
          <w:szCs w:val="44"/>
        </w:rPr>
        <w:t>2017</w:t>
      </w:r>
      <w:r>
        <w:rPr>
          <w:rFonts w:hint="eastAsia" w:ascii="方正小标宋简体" w:hAnsi="宋体" w:eastAsia="方正小标宋简体" w:cs="方正小标宋简体"/>
          <w:w w:val="103"/>
          <w:sz w:val="44"/>
          <w:szCs w:val="44"/>
        </w:rPr>
        <w:t>年度区本级财政会议中心加固</w:t>
      </w:r>
    </w:p>
    <w:p>
      <w:pPr>
        <w:spacing w:line="600" w:lineRule="exact"/>
        <w:jc w:val="center"/>
        <w:rPr>
          <w:rFonts w:ascii="方正小标宋简体" w:hAnsi="宋体" w:eastAsia="方正小标宋简体" w:cs="Times New Roman"/>
          <w:w w:val="103"/>
          <w:sz w:val="44"/>
          <w:szCs w:val="44"/>
        </w:rPr>
      </w:pPr>
      <w:r>
        <w:rPr>
          <w:rFonts w:hint="eastAsia" w:ascii="方正小标宋简体" w:hAnsi="宋体" w:eastAsia="方正小标宋简体" w:cs="方正小标宋简体"/>
          <w:w w:val="103"/>
          <w:sz w:val="44"/>
          <w:szCs w:val="44"/>
        </w:rPr>
        <w:t>费用专项支出绩效自评情况的报告</w:t>
      </w:r>
    </w:p>
    <w:p>
      <w:pPr>
        <w:jc w:val="left"/>
        <w:rPr>
          <w:rFonts w:ascii="Times New Roman" w:hAnsi="Times New Roman" w:eastAsia="仿宋" w:cs="Times New Roman"/>
          <w:sz w:val="32"/>
          <w:szCs w:val="32"/>
        </w:rPr>
      </w:pPr>
    </w:p>
    <w:p>
      <w:pPr>
        <w:jc w:val="left"/>
        <w:rPr>
          <w:rFonts w:ascii="Times New Roman" w:hAnsi="Times New Roman" w:eastAsia="仿宋" w:cs="Times New Roman"/>
          <w:sz w:val="32"/>
          <w:szCs w:val="32"/>
        </w:rPr>
      </w:pPr>
      <w:r>
        <w:rPr>
          <w:rFonts w:hint="eastAsia" w:ascii="Times New Roman" w:hAnsi="仿宋" w:eastAsia="仿宋" w:cs="仿宋"/>
          <w:sz w:val="32"/>
          <w:szCs w:val="32"/>
        </w:rPr>
        <w:t>新罗区财政局：</w:t>
      </w:r>
    </w:p>
    <w:p>
      <w:pPr>
        <w:ind w:firstLine="640" w:firstLineChars="200"/>
        <w:rPr>
          <w:rFonts w:ascii="Times New Roman" w:hAnsi="Times New Roman" w:eastAsia="仿宋" w:cs="Times New Roman"/>
          <w:sz w:val="32"/>
          <w:szCs w:val="32"/>
        </w:rPr>
      </w:pPr>
      <w:r>
        <w:rPr>
          <w:rFonts w:hint="eastAsia" w:ascii="Times New Roman" w:hAnsi="仿宋" w:eastAsia="仿宋" w:cs="仿宋"/>
          <w:sz w:val="32"/>
          <w:szCs w:val="32"/>
        </w:rPr>
        <w:t>为提高财政专项资金使用绩效，</w:t>
      </w:r>
      <w:r>
        <w:rPr>
          <w:rFonts w:hint="eastAsia" w:ascii="Times New Roman" w:hAnsi="Times New Roman" w:eastAsia="仿宋" w:cs="Times New Roman"/>
          <w:sz w:val="32"/>
          <w:szCs w:val="32"/>
        </w:rPr>
        <w:t>中共龙岩市新罗区委办公室</w:t>
      </w:r>
      <w:r>
        <w:rPr>
          <w:rFonts w:hint="eastAsia" w:ascii="Times New Roman" w:hAnsi="仿宋" w:eastAsia="仿宋" w:cs="仿宋"/>
          <w:sz w:val="32"/>
          <w:szCs w:val="32"/>
        </w:rPr>
        <w:t>根据《关于开展区直部门</w:t>
      </w:r>
      <w:r>
        <w:rPr>
          <w:rFonts w:ascii="Times New Roman" w:hAnsi="Times New Roman" w:eastAsia="仿宋" w:cs="Times New Roman"/>
          <w:sz w:val="32"/>
          <w:szCs w:val="32"/>
        </w:rPr>
        <w:t>2017</w:t>
      </w:r>
      <w:r>
        <w:rPr>
          <w:rFonts w:hint="eastAsia" w:ascii="Times New Roman" w:hAnsi="仿宋" w:eastAsia="仿宋" w:cs="仿宋"/>
          <w:sz w:val="32"/>
          <w:szCs w:val="32"/>
        </w:rPr>
        <w:t>年度专项支出绩效自评工作的通知》（龙新财绩</w:t>
      </w:r>
      <w:r>
        <w:rPr>
          <w:rFonts w:hint="eastAsia" w:ascii="Times New Roman" w:hAnsi="Times New Roman" w:eastAsia="仿宋" w:cs="仿宋"/>
          <w:sz w:val="32"/>
          <w:szCs w:val="32"/>
        </w:rPr>
        <w:t>〔</w:t>
      </w:r>
      <w:r>
        <w:rPr>
          <w:rFonts w:ascii="Times New Roman" w:hAnsi="Times New Roman" w:eastAsia="仿宋" w:cs="Times New Roman"/>
          <w:sz w:val="32"/>
          <w:szCs w:val="32"/>
        </w:rPr>
        <w:t>2018</w:t>
      </w:r>
      <w:r>
        <w:rPr>
          <w:rFonts w:hint="eastAsia" w:ascii="Times New Roman" w:hAnsi="Times New Roman" w:eastAsia="仿宋" w:cs="仿宋"/>
          <w:sz w:val="32"/>
          <w:szCs w:val="32"/>
        </w:rPr>
        <w:t>〕</w:t>
      </w:r>
      <w:r>
        <w:rPr>
          <w:rFonts w:ascii="Times New Roman" w:hAnsi="Times New Roman" w:eastAsia="仿宋" w:cs="仿宋"/>
          <w:sz w:val="32"/>
          <w:szCs w:val="32"/>
        </w:rPr>
        <w:t>138</w:t>
      </w:r>
      <w:r>
        <w:rPr>
          <w:rFonts w:hint="eastAsia" w:ascii="Times New Roman" w:hAnsi="仿宋" w:eastAsia="仿宋" w:cs="仿宋"/>
          <w:sz w:val="32"/>
          <w:szCs w:val="32"/>
        </w:rPr>
        <w:t>号）的要求，组织人员对</w:t>
      </w:r>
      <w:r>
        <w:rPr>
          <w:rFonts w:ascii="Times New Roman" w:hAnsi="Times New Roman" w:eastAsia="仿宋" w:cs="Times New Roman"/>
          <w:sz w:val="32"/>
          <w:szCs w:val="32"/>
        </w:rPr>
        <w:t>2017</w:t>
      </w:r>
      <w:r>
        <w:rPr>
          <w:rFonts w:hint="eastAsia" w:ascii="Times New Roman" w:hAnsi="仿宋" w:eastAsia="仿宋" w:cs="仿宋"/>
          <w:sz w:val="32"/>
          <w:szCs w:val="32"/>
        </w:rPr>
        <w:t>年度区本级财政专项支出开展绩效自评价，现将评价材料报送。</w:t>
      </w:r>
    </w:p>
    <w:p>
      <w:pPr>
        <w:ind w:firstLine="640" w:firstLineChars="200"/>
        <w:rPr>
          <w:rFonts w:ascii="Times New Roman" w:hAnsi="仿宋" w:eastAsia="仿宋" w:cs="Times New Roman"/>
          <w:sz w:val="32"/>
          <w:szCs w:val="32"/>
        </w:rPr>
      </w:pPr>
    </w:p>
    <w:p>
      <w:pPr>
        <w:ind w:left="1918" w:leftChars="304" w:hanging="1280" w:hangingChars="400"/>
        <w:rPr>
          <w:rFonts w:ascii="Times New Roman" w:hAnsi="仿宋" w:eastAsia="仿宋" w:cs="仿宋"/>
          <w:sz w:val="32"/>
          <w:szCs w:val="32"/>
        </w:rPr>
      </w:pPr>
      <w:r>
        <w:rPr>
          <w:rFonts w:hint="eastAsia" w:ascii="Times New Roman" w:hAnsi="仿宋" w:eastAsia="仿宋" w:cs="仿宋"/>
          <w:sz w:val="32"/>
          <w:szCs w:val="32"/>
        </w:rPr>
        <w:t xml:space="preserve">  </w:t>
      </w:r>
    </w:p>
    <w:p>
      <w:pPr>
        <w:ind w:left="1918" w:leftChars="304" w:hanging="1280" w:hangingChars="400"/>
        <w:rPr>
          <w:rFonts w:ascii="Times New Roman" w:hAnsi="仿宋" w:eastAsia="仿宋" w:cs="仿宋"/>
          <w:sz w:val="32"/>
          <w:szCs w:val="32"/>
        </w:rPr>
      </w:pPr>
    </w:p>
    <w:p>
      <w:pPr>
        <w:ind w:left="1918" w:leftChars="304" w:hanging="1280" w:hangingChars="400"/>
        <w:rPr>
          <w:rFonts w:hint="eastAsia" w:ascii="Times New Roman" w:hAnsi="Times New Roman" w:eastAsia="仿宋" w:cs="Times New Roman"/>
          <w:sz w:val="32"/>
          <w:szCs w:val="32"/>
        </w:rPr>
      </w:pPr>
      <w:r>
        <w:rPr>
          <w:rFonts w:ascii="Times New Roman" w:hAnsi="Times New Roman" w:eastAsia="仿宋" w:cs="Times New Roman"/>
          <w:sz w:val="32"/>
          <w:szCs w:val="32"/>
        </w:rPr>
        <w:t xml:space="preserve">      </w:t>
      </w:r>
    </w:p>
    <w:p>
      <w:pPr>
        <w:ind w:left="1918" w:leftChars="304" w:hanging="1280" w:hangingChars="400"/>
        <w:rPr>
          <w:rFonts w:hint="eastAsia" w:ascii="Times New Roman" w:hAnsi="Times New Roman" w:eastAsia="仿宋" w:cs="Times New Roman"/>
          <w:sz w:val="32"/>
          <w:szCs w:val="32"/>
        </w:rPr>
      </w:pPr>
    </w:p>
    <w:p>
      <w:pPr>
        <w:ind w:firstLine="3200" w:firstLineChars="1000"/>
        <w:rPr>
          <w:rFonts w:ascii="Times New Roman" w:hAnsi="Times New Roman" w:eastAsia="仿宋" w:cs="Times New Roman"/>
          <w:sz w:val="32"/>
          <w:szCs w:val="32"/>
        </w:rPr>
      </w:pPr>
      <w:r>
        <w:rPr>
          <w:rFonts w:hint="eastAsia" w:ascii="Times New Roman" w:hAnsi="Times New Roman" w:eastAsia="仿宋" w:cs="Times New Roman"/>
          <w:sz w:val="32"/>
          <w:szCs w:val="32"/>
        </w:rPr>
        <w:t>中国共产党龙岩市新罗区委员会办公室</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 xml:space="preserve">                          </w:t>
      </w:r>
      <w:r>
        <w:rPr>
          <w:rFonts w:hint="eastAsia" w:ascii="Times New Roman" w:hAnsi="Times New Roman" w:eastAsia="仿宋" w:cs="Times New Roman"/>
          <w:sz w:val="32"/>
          <w:szCs w:val="32"/>
        </w:rPr>
        <w:t>2018</w:t>
      </w:r>
      <w:r>
        <w:rPr>
          <w:rFonts w:hint="eastAsia" w:ascii="Times New Roman" w:hAnsi="仿宋" w:eastAsia="仿宋" w:cs="仿宋"/>
          <w:sz w:val="32"/>
          <w:szCs w:val="32"/>
        </w:rPr>
        <w:t>年</w:t>
      </w:r>
      <w:r>
        <w:rPr>
          <w:rFonts w:ascii="Times New Roman" w:hAnsi="Times New Roman" w:eastAsia="仿宋" w:cs="Times New Roman"/>
          <w:sz w:val="32"/>
          <w:szCs w:val="32"/>
        </w:rPr>
        <w:t xml:space="preserve"> </w:t>
      </w:r>
      <w:r>
        <w:rPr>
          <w:rFonts w:hint="eastAsia" w:ascii="Times New Roman" w:hAnsi="Times New Roman" w:eastAsia="仿宋" w:cs="Times New Roman"/>
          <w:sz w:val="32"/>
          <w:szCs w:val="32"/>
        </w:rPr>
        <w:t>4</w:t>
      </w:r>
      <w:r>
        <w:rPr>
          <w:rFonts w:hint="eastAsia" w:ascii="Times New Roman" w:hAnsi="仿宋" w:eastAsia="仿宋" w:cs="仿宋"/>
          <w:sz w:val="32"/>
          <w:szCs w:val="32"/>
        </w:rPr>
        <w:t>月</w:t>
      </w:r>
      <w:r>
        <w:rPr>
          <w:rFonts w:hint="eastAsia" w:ascii="Times New Roman" w:hAnsi="仿宋" w:eastAsia="仿宋" w:cs="Times New Roman"/>
          <w:sz w:val="32"/>
          <w:szCs w:val="32"/>
        </w:rPr>
        <w:t>26</w:t>
      </w:r>
      <w:r>
        <w:rPr>
          <w:rFonts w:hint="eastAsia" w:ascii="Times New Roman" w:hAnsi="仿宋" w:eastAsia="仿宋" w:cs="仿宋"/>
          <w:sz w:val="32"/>
          <w:szCs w:val="32"/>
        </w:rPr>
        <w:t>日</w:t>
      </w:r>
    </w:p>
    <w:p>
      <w:pPr>
        <w:ind w:firstLine="643" w:firstLineChars="200"/>
        <w:rPr>
          <w:rFonts w:ascii="Times New Roman" w:hAnsi="Times New Roman" w:eastAsia="黑体" w:cs="Times New Roman"/>
          <w:b/>
          <w:bCs/>
          <w:sz w:val="32"/>
          <w:szCs w:val="32"/>
        </w:rPr>
      </w:pPr>
    </w:p>
    <w:p>
      <w:pPr>
        <w:spacing w:line="600" w:lineRule="exact"/>
        <w:jc w:val="center"/>
        <w:rPr>
          <w:rFonts w:hint="eastAsia" w:ascii="方正小标宋简体" w:hAnsi="宋体" w:eastAsia="方正小标宋简体" w:cs="方正小标宋简体"/>
          <w:sz w:val="44"/>
          <w:szCs w:val="44"/>
        </w:rPr>
      </w:pPr>
    </w:p>
    <w:p>
      <w:pPr>
        <w:spacing w:line="600" w:lineRule="exact"/>
        <w:jc w:val="center"/>
        <w:rPr>
          <w:rFonts w:ascii="方正小标宋简体" w:hAnsi="宋体" w:eastAsia="方正小标宋简体" w:cs="Times New Roman"/>
          <w:sz w:val="44"/>
          <w:szCs w:val="44"/>
        </w:rPr>
      </w:pPr>
      <w:r>
        <w:rPr>
          <w:rFonts w:ascii="方正小标宋简体" w:hAnsi="宋体" w:eastAsia="方正小标宋简体" w:cs="方正小标宋简体"/>
          <w:sz w:val="44"/>
          <w:szCs w:val="44"/>
        </w:rPr>
        <w:t>2017</w:t>
      </w:r>
      <w:r>
        <w:rPr>
          <w:rFonts w:hint="eastAsia" w:ascii="方正小标宋简体" w:hAnsi="宋体" w:eastAsia="方正小标宋简体" w:cs="方正小标宋简体"/>
          <w:sz w:val="44"/>
          <w:szCs w:val="44"/>
        </w:rPr>
        <w:t>年度会议中心加固费用</w:t>
      </w:r>
    </w:p>
    <w:p>
      <w:pPr>
        <w:spacing w:line="600" w:lineRule="exact"/>
        <w:jc w:val="center"/>
        <w:rPr>
          <w:rFonts w:ascii="方正小标宋简体" w:hAnsi="宋体" w:eastAsia="方正小标宋简体" w:cs="Times New Roman"/>
          <w:sz w:val="44"/>
          <w:szCs w:val="44"/>
        </w:rPr>
      </w:pPr>
      <w:r>
        <w:rPr>
          <w:rFonts w:hint="eastAsia" w:ascii="方正小标宋简体" w:hAnsi="宋体" w:eastAsia="方正小标宋简体" w:cs="方正小标宋简体"/>
          <w:sz w:val="44"/>
          <w:szCs w:val="44"/>
        </w:rPr>
        <w:t>项目资金使用绩效自评报告</w:t>
      </w:r>
    </w:p>
    <w:p>
      <w:pPr>
        <w:spacing w:line="600" w:lineRule="exact"/>
        <w:ind w:firstLine="643" w:firstLineChars="200"/>
        <w:jc w:val="center"/>
        <w:rPr>
          <w:rFonts w:ascii="黑体" w:hAnsi="Times New Roman" w:eastAsia="黑体" w:cs="Times New Roman"/>
          <w:b/>
          <w:bCs/>
          <w:sz w:val="32"/>
          <w:szCs w:val="32"/>
        </w:rPr>
      </w:pPr>
    </w:p>
    <w:p>
      <w:pPr>
        <w:spacing w:line="600" w:lineRule="exact"/>
        <w:ind w:firstLine="640" w:firstLineChars="200"/>
        <w:rPr>
          <w:rFonts w:ascii="仿宋" w:hAnsi="仿宋" w:eastAsia="仿宋" w:cs="Times New Roman"/>
          <w:sz w:val="32"/>
          <w:szCs w:val="32"/>
        </w:rPr>
      </w:pPr>
      <w:r>
        <w:rPr>
          <w:rFonts w:hint="eastAsia" w:ascii="仿宋" w:hAnsi="仿宋" w:eastAsia="仿宋" w:cs="仿宋"/>
          <w:sz w:val="32"/>
          <w:szCs w:val="32"/>
        </w:rPr>
        <w:t>一、项目概况</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 xml:space="preserve">（一）项目单位基本情况 </w:t>
      </w:r>
    </w:p>
    <w:p>
      <w:pPr>
        <w:spacing w:line="600" w:lineRule="exact"/>
        <w:ind w:firstLine="640" w:firstLineChars="200"/>
        <w:rPr>
          <w:rFonts w:ascii="仿宋" w:hAnsi="仿宋" w:eastAsia="仿宋" w:cs="Times New Roman"/>
          <w:sz w:val="32"/>
          <w:szCs w:val="32"/>
        </w:rPr>
      </w:pPr>
      <w:r>
        <w:rPr>
          <w:rFonts w:hint="eastAsia" w:ascii="仿宋_GB2312" w:eastAsia="仿宋_GB2312"/>
          <w:sz w:val="32"/>
          <w:szCs w:val="32"/>
        </w:rPr>
        <w:t>中共龙岩市新罗区委办公室是为区委决策和实施决策服务的办事机构，是承上启下、联系左右、沟通内外的枢纽。通过做好会议服务、公文撰写、信息调研、督促检查、财务管理等各项工作，保障区委机关的正常运转，促进全区各项事业的发展。区委办内设综合股、秘书股、信息股、党群股、经济股、政研股、行政股、保卫股等8个职能股室和区委督查室、机要局、区保密局及</w:t>
      </w:r>
      <w:r>
        <w:rPr>
          <w:rFonts w:ascii="仿宋_GB2312" w:eastAsia="仿宋_GB2312"/>
          <w:sz w:val="32"/>
          <w:szCs w:val="32"/>
        </w:rPr>
        <w:t>区委总值班室</w:t>
      </w:r>
      <w:r>
        <w:rPr>
          <w:rFonts w:hint="eastAsia" w:ascii="仿宋_GB2312" w:eastAsia="仿宋_GB2312"/>
          <w:sz w:val="32"/>
          <w:szCs w:val="32"/>
        </w:rPr>
        <w:t>4个挂靠机构。现有干部职工70人，其中：在编45人，聘用15人，借用10人。</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（二）项目基本情况</w:t>
      </w:r>
    </w:p>
    <w:p>
      <w:pPr>
        <w:spacing w:line="560" w:lineRule="exact"/>
        <w:ind w:firstLine="656" w:firstLineChars="200"/>
        <w:rPr>
          <w:rFonts w:ascii="仿宋_GB2312" w:eastAsia="仿宋_GB2312"/>
          <w:sz w:val="32"/>
          <w:szCs w:val="32"/>
        </w:rPr>
      </w:pPr>
      <w:r>
        <w:rPr>
          <w:rFonts w:hint="eastAsia" w:ascii="仿宋_GB2312" w:eastAsia="仿宋_GB2312"/>
          <w:spacing w:val="4"/>
          <w:sz w:val="32"/>
          <w:szCs w:val="32"/>
        </w:rPr>
        <w:t>为保证区委各项工作高效运转，根据我办工作实际，2017年立项申报会议中心加固费用</w:t>
      </w:r>
      <w:r>
        <w:rPr>
          <w:rFonts w:ascii="仿宋_GB2312" w:eastAsia="仿宋_GB2312"/>
          <w:spacing w:val="4"/>
          <w:sz w:val="32"/>
          <w:szCs w:val="32"/>
        </w:rPr>
        <w:t>专项</w:t>
      </w:r>
      <w:r>
        <w:rPr>
          <w:rFonts w:hint="eastAsia" w:ascii="仿宋_GB2312" w:eastAsia="仿宋_GB2312"/>
          <w:spacing w:val="4"/>
          <w:sz w:val="32"/>
          <w:szCs w:val="32"/>
        </w:rPr>
        <w:t>资金支出项目1个，总金额450万元。总体</w:t>
      </w:r>
      <w:r>
        <w:rPr>
          <w:rFonts w:ascii="仿宋_GB2312" w:eastAsia="仿宋_GB2312"/>
          <w:spacing w:val="4"/>
          <w:sz w:val="32"/>
          <w:szCs w:val="32"/>
        </w:rPr>
        <w:t>投入</w:t>
      </w:r>
      <w:r>
        <w:rPr>
          <w:rFonts w:hint="eastAsia" w:ascii="仿宋_GB2312" w:eastAsia="仿宋_GB2312"/>
          <w:spacing w:val="4"/>
          <w:sz w:val="32"/>
          <w:szCs w:val="32"/>
        </w:rPr>
        <w:t>资金450万元</w:t>
      </w:r>
      <w:r>
        <w:rPr>
          <w:rFonts w:ascii="仿宋_GB2312" w:eastAsia="仿宋_GB2312"/>
          <w:spacing w:val="4"/>
          <w:sz w:val="32"/>
          <w:szCs w:val="32"/>
        </w:rPr>
        <w:t>。</w:t>
      </w:r>
      <w:r>
        <w:rPr>
          <w:rFonts w:hint="eastAsia" w:ascii="仿宋_GB2312" w:eastAsia="仿宋_GB2312"/>
          <w:sz w:val="32"/>
          <w:szCs w:val="32"/>
        </w:rPr>
        <w:t>具体支出内容：</w:t>
      </w:r>
    </w:p>
    <w:p>
      <w:pPr>
        <w:spacing w:line="560" w:lineRule="exact"/>
        <w:ind w:firstLine="656" w:firstLineChars="200"/>
        <w:rPr>
          <w:rFonts w:ascii="仿宋" w:hAnsi="仿宋" w:eastAsia="仿宋" w:cs="仿宋"/>
          <w:sz w:val="32"/>
          <w:szCs w:val="32"/>
        </w:rPr>
      </w:pPr>
      <w:r>
        <w:rPr>
          <w:rFonts w:hint="eastAsia" w:ascii="仿宋_GB2312" w:eastAsia="仿宋_GB2312"/>
          <w:spacing w:val="4"/>
          <w:sz w:val="32"/>
          <w:szCs w:val="32"/>
        </w:rPr>
        <w:t>会议中心加固费用450万元：根据福建省建筑工程质量检测中心有限公司报告编号：BG02FEKJ700304“结构安全性鉴定”报告鉴定结果：龙岩市新罗区会议中心的结构安全性等级评为Csu级，不满足结构安全性要求，因此需要对会议中心进行修缮加固，总体需修缮加固资金450万元。</w:t>
      </w:r>
    </w:p>
    <w:p>
      <w:pPr>
        <w:spacing w:line="600" w:lineRule="exact"/>
        <w:ind w:firstLine="640" w:firstLineChars="200"/>
        <w:rPr>
          <w:rFonts w:ascii="仿宋" w:hAnsi="仿宋" w:eastAsia="仿宋" w:cs="Times New Roman"/>
          <w:sz w:val="32"/>
          <w:szCs w:val="32"/>
        </w:rPr>
      </w:pPr>
      <w:r>
        <w:rPr>
          <w:rFonts w:hint="eastAsia" w:ascii="仿宋" w:hAnsi="仿宋" w:eastAsia="仿宋" w:cs="仿宋"/>
          <w:sz w:val="32"/>
          <w:szCs w:val="32"/>
        </w:rPr>
        <w:t>二、专项支出项目实施基本情况</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（一）项目组织管理情况</w:t>
      </w:r>
    </w:p>
    <w:p>
      <w:pPr>
        <w:spacing w:line="600" w:lineRule="exact"/>
        <w:ind w:firstLine="640" w:firstLineChars="200"/>
        <w:rPr>
          <w:rFonts w:ascii="仿宋" w:hAnsi="仿宋" w:eastAsia="仿宋" w:cs="Times New Roman"/>
          <w:sz w:val="32"/>
          <w:szCs w:val="32"/>
        </w:rPr>
      </w:pPr>
      <w:r>
        <w:rPr>
          <w:rFonts w:hint="eastAsia" w:ascii="仿宋_GB2312" w:eastAsia="仿宋_GB2312"/>
          <w:sz w:val="32"/>
          <w:szCs w:val="32"/>
        </w:rPr>
        <w:t>严格遵守中央财经纪律及我办财务管理制度规定，根据该</w:t>
      </w:r>
      <w:r>
        <w:rPr>
          <w:rFonts w:ascii="仿宋_GB2312" w:eastAsia="仿宋_GB2312"/>
          <w:sz w:val="32"/>
          <w:szCs w:val="32"/>
        </w:rPr>
        <w:t>专项</w:t>
      </w:r>
      <w:r>
        <w:rPr>
          <w:rFonts w:hint="eastAsia" w:ascii="仿宋_GB2312" w:eastAsia="仿宋_GB2312"/>
          <w:sz w:val="32"/>
          <w:szCs w:val="32"/>
        </w:rPr>
        <w:t>资金</w:t>
      </w:r>
      <w:r>
        <w:rPr>
          <w:rFonts w:ascii="仿宋_GB2312" w:eastAsia="仿宋_GB2312"/>
          <w:sz w:val="32"/>
          <w:szCs w:val="32"/>
        </w:rPr>
        <w:t>支出项目的</w:t>
      </w:r>
      <w:r>
        <w:rPr>
          <w:rFonts w:hint="eastAsia" w:ascii="仿宋_GB2312" w:eastAsia="仿宋_GB2312"/>
          <w:sz w:val="32"/>
          <w:szCs w:val="32"/>
        </w:rPr>
        <w:t>具体</w:t>
      </w:r>
      <w:r>
        <w:rPr>
          <w:rFonts w:ascii="仿宋_GB2312" w:eastAsia="仿宋_GB2312"/>
          <w:sz w:val="32"/>
          <w:szCs w:val="32"/>
        </w:rPr>
        <w:t>情况和工作进度，及时拨付资金。</w:t>
      </w:r>
      <w:r>
        <w:rPr>
          <w:rFonts w:hint="eastAsia" w:ascii="仿宋_GB2312" w:eastAsia="仿宋_GB2312"/>
          <w:sz w:val="32"/>
          <w:szCs w:val="32"/>
        </w:rPr>
        <w:t>同时资金拨付必须有经手、证明及分管领导审核、领导审批等完整手续。资金使用原则上依据有关文件或会议决议执行，保证资金使用的合规性，无出现截留、挤占、挪用、虚列支出等情况。及时做好该</w:t>
      </w:r>
      <w:r>
        <w:rPr>
          <w:rFonts w:ascii="仿宋_GB2312" w:eastAsia="仿宋_GB2312"/>
          <w:sz w:val="32"/>
          <w:szCs w:val="32"/>
        </w:rPr>
        <w:t>专项</w:t>
      </w:r>
      <w:r>
        <w:rPr>
          <w:rFonts w:hint="eastAsia" w:ascii="仿宋_GB2312" w:eastAsia="仿宋_GB2312"/>
          <w:sz w:val="32"/>
          <w:szCs w:val="32"/>
        </w:rPr>
        <w:t>资金</w:t>
      </w:r>
      <w:r>
        <w:rPr>
          <w:rFonts w:ascii="仿宋_GB2312" w:eastAsia="仿宋_GB2312"/>
          <w:sz w:val="32"/>
          <w:szCs w:val="32"/>
        </w:rPr>
        <w:t>支出</w:t>
      </w:r>
      <w:r>
        <w:rPr>
          <w:rFonts w:hint="eastAsia" w:ascii="仿宋_GB2312" w:eastAsia="仿宋_GB2312"/>
          <w:sz w:val="32"/>
          <w:szCs w:val="32"/>
        </w:rPr>
        <w:t>项目</w:t>
      </w:r>
      <w:r>
        <w:rPr>
          <w:rFonts w:ascii="仿宋_GB2312" w:eastAsia="仿宋_GB2312"/>
          <w:sz w:val="32"/>
          <w:szCs w:val="32"/>
        </w:rPr>
        <w:t>的</w:t>
      </w:r>
      <w:r>
        <w:rPr>
          <w:rFonts w:hint="eastAsia" w:ascii="仿宋_GB2312" w:eastAsia="仿宋_GB2312"/>
          <w:sz w:val="32"/>
          <w:szCs w:val="32"/>
        </w:rPr>
        <w:t>事前</w:t>
      </w:r>
      <w:r>
        <w:rPr>
          <w:rFonts w:ascii="仿宋_GB2312" w:eastAsia="仿宋_GB2312"/>
          <w:sz w:val="32"/>
          <w:szCs w:val="32"/>
        </w:rPr>
        <w:t>审核，事后监督工作。保障</w:t>
      </w:r>
      <w:r>
        <w:rPr>
          <w:rFonts w:hint="eastAsia" w:ascii="仿宋_GB2312" w:eastAsia="仿宋_GB2312"/>
          <w:sz w:val="32"/>
          <w:szCs w:val="32"/>
        </w:rPr>
        <w:t>该专项</w:t>
      </w:r>
      <w:r>
        <w:rPr>
          <w:rFonts w:ascii="仿宋_GB2312" w:eastAsia="仿宋_GB2312"/>
          <w:sz w:val="32"/>
          <w:szCs w:val="32"/>
        </w:rPr>
        <w:t>资金</w:t>
      </w:r>
      <w:r>
        <w:rPr>
          <w:rFonts w:hint="eastAsia" w:ascii="仿宋_GB2312" w:eastAsia="仿宋_GB2312"/>
          <w:sz w:val="32"/>
          <w:szCs w:val="32"/>
        </w:rPr>
        <w:t>项目</w:t>
      </w:r>
      <w:r>
        <w:rPr>
          <w:rFonts w:ascii="仿宋_GB2312" w:eastAsia="仿宋_GB2312"/>
          <w:sz w:val="32"/>
          <w:szCs w:val="32"/>
        </w:rPr>
        <w:t>的正常使用</w:t>
      </w:r>
      <w:r>
        <w:rPr>
          <w:rFonts w:hint="eastAsia" w:ascii="仿宋" w:hAnsi="仿宋" w:eastAsia="仿宋" w:cs="仿宋"/>
          <w:sz w:val="32"/>
          <w:szCs w:val="32"/>
        </w:rPr>
        <w:t>。</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（二）项目资金使用状况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2017年财政预算安排我办绩效评价</w:t>
      </w:r>
      <w:r>
        <w:rPr>
          <w:rFonts w:hint="eastAsia" w:ascii="仿宋_GB2312" w:eastAsia="仿宋_GB2312"/>
          <w:spacing w:val="4"/>
          <w:sz w:val="32"/>
          <w:szCs w:val="32"/>
        </w:rPr>
        <w:t>会议中心加固费用</w:t>
      </w:r>
      <w:r>
        <w:rPr>
          <w:rFonts w:hint="eastAsia" w:ascii="仿宋_GB2312" w:eastAsia="仿宋_GB2312"/>
          <w:sz w:val="32"/>
          <w:szCs w:val="32"/>
        </w:rPr>
        <w:t>专项资金支出</w:t>
      </w:r>
      <w:r>
        <w:rPr>
          <w:rFonts w:ascii="仿宋_GB2312" w:eastAsia="仿宋_GB2312"/>
          <w:sz w:val="32"/>
          <w:szCs w:val="32"/>
        </w:rPr>
        <w:t>项目</w:t>
      </w:r>
      <w:r>
        <w:rPr>
          <w:rFonts w:hint="eastAsia" w:ascii="仿宋_GB2312" w:eastAsia="仿宋_GB2312"/>
          <w:sz w:val="32"/>
          <w:szCs w:val="32"/>
        </w:rPr>
        <w:t>450万元，总投入450万元，总支出450万元，资金到位率100%，资金使用率100%。资金</w:t>
      </w:r>
      <w:r>
        <w:rPr>
          <w:rFonts w:ascii="仿宋_GB2312" w:eastAsia="仿宋_GB2312"/>
          <w:sz w:val="32"/>
          <w:szCs w:val="32"/>
        </w:rPr>
        <w:t>使用都合</w:t>
      </w:r>
      <w:r>
        <w:rPr>
          <w:rFonts w:hint="eastAsia" w:ascii="仿宋_GB2312" w:eastAsia="仿宋_GB2312"/>
          <w:sz w:val="32"/>
          <w:szCs w:val="32"/>
        </w:rPr>
        <w:t>法</w:t>
      </w:r>
      <w:r>
        <w:rPr>
          <w:rFonts w:ascii="仿宋_GB2312" w:eastAsia="仿宋_GB2312"/>
          <w:sz w:val="32"/>
          <w:szCs w:val="32"/>
        </w:rPr>
        <w:t>合规。</w:t>
      </w:r>
    </w:p>
    <w:p>
      <w:pPr>
        <w:spacing w:line="600" w:lineRule="exact"/>
        <w:ind w:firstLine="643" w:firstLineChars="200"/>
        <w:rPr>
          <w:rFonts w:ascii="黑体" w:hAnsi="Times New Roman" w:eastAsia="黑体" w:cs="Times New Roman"/>
          <w:b/>
          <w:bCs/>
          <w:sz w:val="32"/>
          <w:szCs w:val="32"/>
        </w:rPr>
      </w:pPr>
      <w:r>
        <w:rPr>
          <w:rFonts w:hint="eastAsia" w:ascii="黑体" w:hAnsi="Times New Roman" w:eastAsia="黑体" w:cs="黑体"/>
          <w:b/>
          <w:bCs/>
          <w:sz w:val="32"/>
          <w:szCs w:val="32"/>
        </w:rPr>
        <w:t>三、专项支出项目绩效分析</w:t>
      </w:r>
    </w:p>
    <w:p>
      <w:pPr>
        <w:spacing w:line="600" w:lineRule="exact"/>
        <w:ind w:firstLine="640" w:firstLineChars="200"/>
        <w:rPr>
          <w:rFonts w:ascii="仿宋" w:hAnsi="仿宋" w:eastAsia="仿宋" w:cs="仿宋"/>
          <w:b/>
          <w:bCs/>
          <w:sz w:val="32"/>
          <w:szCs w:val="32"/>
        </w:rPr>
      </w:pPr>
      <w:r>
        <w:rPr>
          <w:rFonts w:hint="eastAsia" w:ascii="仿宋" w:hAnsi="仿宋" w:eastAsia="仿宋" w:cs="仿宋"/>
          <w:sz w:val="32"/>
          <w:szCs w:val="32"/>
        </w:rPr>
        <w:t>（一）</w:t>
      </w:r>
      <w:r>
        <w:rPr>
          <w:rFonts w:hint="eastAsia" w:ascii="仿宋" w:hAnsi="仿宋" w:eastAsia="仿宋" w:cs="仿宋"/>
          <w:b/>
          <w:bCs/>
          <w:sz w:val="32"/>
          <w:szCs w:val="32"/>
        </w:rPr>
        <w:t>项目绩效评价工作开展情况</w:t>
      </w:r>
    </w:p>
    <w:p>
      <w:pPr>
        <w:spacing w:line="560" w:lineRule="exact"/>
        <w:ind w:firstLine="640" w:firstLineChars="200"/>
        <w:rPr>
          <w:rFonts w:ascii="仿宋" w:hAnsi="仿宋" w:eastAsia="仿宋" w:cs="仿宋"/>
          <w:color w:val="333333"/>
          <w:sz w:val="32"/>
          <w:szCs w:val="32"/>
        </w:rPr>
      </w:pPr>
      <w:r>
        <w:rPr>
          <w:rFonts w:hint="eastAsia" w:ascii="仿宋_GB2312" w:hAnsi="仿宋" w:eastAsia="仿宋_GB2312" w:cs="仿宋"/>
          <w:color w:val="333333"/>
          <w:sz w:val="32"/>
          <w:szCs w:val="32"/>
        </w:rPr>
        <w:t>2017年</w:t>
      </w:r>
      <w:r>
        <w:rPr>
          <w:rFonts w:hint="eastAsia" w:ascii="仿宋_GB2312" w:hAnsi="仿宋" w:eastAsia="仿宋_GB2312" w:cs="仿宋"/>
          <w:color w:val="333333"/>
          <w:kern w:val="0"/>
          <w:sz w:val="32"/>
          <w:szCs w:val="32"/>
        </w:rPr>
        <w:t>我办持续认真贯彻落实中央八项规定精神，严格执行《党政机关厉行节约、反对浪费条例》，严</w:t>
      </w:r>
      <w:bookmarkStart w:id="0" w:name="_GoBack"/>
      <w:bookmarkEnd w:id="0"/>
      <w:r>
        <w:rPr>
          <w:rFonts w:hint="eastAsia" w:ascii="仿宋_GB2312" w:hAnsi="仿宋" w:eastAsia="仿宋_GB2312" w:cs="仿宋"/>
          <w:color w:val="333333"/>
          <w:kern w:val="0"/>
          <w:sz w:val="32"/>
          <w:szCs w:val="32"/>
        </w:rPr>
        <w:t>格控制公务用车运行维护费用、公务接待费用及公务出国出（境）费用等“三公”经费。全年各项工作经费较往年有明显下降，高效</w:t>
      </w:r>
      <w:r>
        <w:rPr>
          <w:rFonts w:ascii="仿宋_GB2312" w:hAnsi="仿宋" w:eastAsia="仿宋_GB2312" w:cs="仿宋"/>
          <w:color w:val="333333"/>
          <w:kern w:val="0"/>
          <w:sz w:val="32"/>
          <w:szCs w:val="32"/>
        </w:rPr>
        <w:t>使用经费</w:t>
      </w:r>
      <w:r>
        <w:rPr>
          <w:rFonts w:hint="eastAsia" w:ascii="仿宋_GB2312" w:hAnsi="仿宋" w:eastAsia="仿宋_GB2312" w:cs="仿宋"/>
          <w:color w:val="333333"/>
          <w:kern w:val="0"/>
          <w:sz w:val="32"/>
          <w:szCs w:val="32"/>
        </w:rPr>
        <w:t>，有力地保障了整个区委机关各项工作协调运转。按照</w:t>
      </w:r>
      <w:r>
        <w:rPr>
          <w:rFonts w:ascii="仿宋_GB2312" w:hAnsi="仿宋" w:eastAsia="仿宋_GB2312" w:cs="仿宋"/>
          <w:color w:val="333333"/>
          <w:kern w:val="0"/>
          <w:sz w:val="32"/>
          <w:szCs w:val="32"/>
        </w:rPr>
        <w:t>区财政</w:t>
      </w:r>
      <w:r>
        <w:rPr>
          <w:rFonts w:hint="eastAsia" w:ascii="仿宋_GB2312" w:hAnsi="仿宋" w:eastAsia="仿宋_GB2312" w:cs="仿宋"/>
          <w:color w:val="333333"/>
          <w:kern w:val="0"/>
          <w:sz w:val="32"/>
          <w:szCs w:val="32"/>
        </w:rPr>
        <w:t>局</w:t>
      </w:r>
      <w:r>
        <w:rPr>
          <w:rFonts w:ascii="仿宋_GB2312" w:hAnsi="仿宋" w:eastAsia="仿宋_GB2312" w:cs="仿宋"/>
          <w:color w:val="333333"/>
          <w:kern w:val="0"/>
          <w:sz w:val="32"/>
          <w:szCs w:val="32"/>
        </w:rPr>
        <w:t>绩效考评办法要求，我办</w:t>
      </w:r>
      <w:r>
        <w:rPr>
          <w:rFonts w:hint="eastAsia" w:ascii="仿宋_GB2312" w:hAnsi="仿宋" w:eastAsia="仿宋_GB2312" w:cs="仿宋"/>
          <w:color w:val="333333"/>
          <w:kern w:val="0"/>
          <w:sz w:val="32"/>
          <w:szCs w:val="32"/>
        </w:rPr>
        <w:t>会议中心加固费用</w:t>
      </w:r>
      <w:r>
        <w:rPr>
          <w:rFonts w:ascii="仿宋_GB2312" w:hAnsi="仿宋" w:eastAsia="仿宋_GB2312" w:cs="仿宋"/>
          <w:color w:val="333333"/>
          <w:kern w:val="0"/>
          <w:sz w:val="32"/>
          <w:szCs w:val="32"/>
        </w:rPr>
        <w:t>专项</w:t>
      </w:r>
      <w:r>
        <w:rPr>
          <w:rFonts w:hint="eastAsia" w:ascii="仿宋_GB2312" w:hAnsi="仿宋" w:eastAsia="仿宋_GB2312" w:cs="仿宋"/>
          <w:color w:val="333333"/>
          <w:kern w:val="0"/>
          <w:sz w:val="32"/>
          <w:szCs w:val="32"/>
        </w:rPr>
        <w:t>资金</w:t>
      </w:r>
      <w:r>
        <w:rPr>
          <w:rFonts w:ascii="仿宋_GB2312" w:hAnsi="仿宋" w:eastAsia="仿宋_GB2312" w:cs="仿宋"/>
          <w:color w:val="333333"/>
          <w:kern w:val="0"/>
          <w:sz w:val="32"/>
          <w:szCs w:val="32"/>
        </w:rPr>
        <w:t>支出</w:t>
      </w:r>
      <w:r>
        <w:rPr>
          <w:rFonts w:hint="eastAsia" w:ascii="仿宋_GB2312" w:hAnsi="仿宋" w:eastAsia="仿宋_GB2312" w:cs="仿宋"/>
          <w:color w:val="333333"/>
          <w:kern w:val="0"/>
          <w:sz w:val="32"/>
          <w:szCs w:val="32"/>
        </w:rPr>
        <w:t>主</w:t>
      </w:r>
      <w:r>
        <w:rPr>
          <w:rFonts w:ascii="仿宋_GB2312" w:hAnsi="仿宋" w:eastAsia="仿宋_GB2312" w:cs="仿宋"/>
          <w:color w:val="333333"/>
          <w:kern w:val="0"/>
          <w:sz w:val="32"/>
          <w:szCs w:val="32"/>
        </w:rPr>
        <w:t>要采用因素分析法进行分析</w:t>
      </w:r>
      <w:r>
        <w:rPr>
          <w:rFonts w:hint="eastAsia" w:ascii="仿宋_GB2312" w:hAnsi="仿宋" w:eastAsia="仿宋_GB2312" w:cs="仿宋"/>
          <w:color w:val="333333"/>
          <w:kern w:val="0"/>
          <w:sz w:val="32"/>
          <w:szCs w:val="32"/>
        </w:rPr>
        <w:t>评价</w:t>
      </w:r>
      <w:r>
        <w:rPr>
          <w:rFonts w:ascii="仿宋_GB2312" w:hAnsi="仿宋" w:eastAsia="仿宋_GB2312" w:cs="仿宋"/>
          <w:color w:val="333333"/>
          <w:kern w:val="0"/>
          <w:sz w:val="32"/>
          <w:szCs w:val="32"/>
        </w:rPr>
        <w:t>，并组织相关人员进行现场</w:t>
      </w:r>
      <w:r>
        <w:rPr>
          <w:rFonts w:hint="eastAsia" w:ascii="仿宋_GB2312" w:hAnsi="仿宋" w:eastAsia="仿宋_GB2312" w:cs="仿宋"/>
          <w:color w:val="333333"/>
          <w:kern w:val="0"/>
          <w:sz w:val="32"/>
          <w:szCs w:val="32"/>
        </w:rPr>
        <w:t>勘</w:t>
      </w:r>
      <w:r>
        <w:rPr>
          <w:rFonts w:ascii="仿宋_GB2312" w:hAnsi="仿宋" w:eastAsia="仿宋_GB2312" w:cs="仿宋"/>
          <w:color w:val="333333"/>
          <w:kern w:val="0"/>
          <w:sz w:val="32"/>
          <w:szCs w:val="32"/>
        </w:rPr>
        <w:t>验、检查、核实，各个</w:t>
      </w:r>
      <w:r>
        <w:rPr>
          <w:rFonts w:hint="eastAsia" w:ascii="仿宋_GB2312" w:hAnsi="仿宋" w:eastAsia="仿宋_GB2312" w:cs="仿宋"/>
          <w:color w:val="333333"/>
          <w:kern w:val="0"/>
          <w:sz w:val="32"/>
          <w:szCs w:val="32"/>
        </w:rPr>
        <w:t>方面</w:t>
      </w:r>
      <w:r>
        <w:rPr>
          <w:rFonts w:ascii="仿宋_GB2312" w:hAnsi="仿宋" w:eastAsia="仿宋_GB2312" w:cs="仿宋"/>
          <w:color w:val="333333"/>
          <w:kern w:val="0"/>
          <w:sz w:val="32"/>
          <w:szCs w:val="32"/>
        </w:rPr>
        <w:t>都达到了预期效果，顺利</w:t>
      </w:r>
      <w:r>
        <w:rPr>
          <w:rFonts w:hint="eastAsia" w:ascii="仿宋_GB2312" w:hAnsi="仿宋" w:eastAsia="仿宋_GB2312" w:cs="仿宋"/>
          <w:color w:val="333333"/>
          <w:kern w:val="0"/>
          <w:sz w:val="32"/>
          <w:szCs w:val="32"/>
        </w:rPr>
        <w:t>地</w:t>
      </w:r>
      <w:r>
        <w:rPr>
          <w:rFonts w:ascii="仿宋_GB2312" w:hAnsi="仿宋" w:eastAsia="仿宋_GB2312" w:cs="仿宋"/>
          <w:color w:val="333333"/>
          <w:kern w:val="0"/>
          <w:sz w:val="32"/>
          <w:szCs w:val="32"/>
        </w:rPr>
        <w:t>完成</w:t>
      </w:r>
      <w:r>
        <w:rPr>
          <w:rFonts w:hint="eastAsia" w:ascii="仿宋_GB2312" w:hAnsi="仿宋" w:eastAsia="仿宋_GB2312" w:cs="仿宋"/>
          <w:color w:val="333333"/>
          <w:kern w:val="0"/>
          <w:sz w:val="32"/>
          <w:szCs w:val="32"/>
        </w:rPr>
        <w:t>年度</w:t>
      </w:r>
      <w:r>
        <w:rPr>
          <w:rFonts w:ascii="仿宋_GB2312" w:hAnsi="仿宋" w:eastAsia="仿宋_GB2312" w:cs="仿宋"/>
          <w:color w:val="333333"/>
          <w:kern w:val="0"/>
          <w:sz w:val="32"/>
          <w:szCs w:val="32"/>
        </w:rPr>
        <w:t>目标和总体目标。</w:t>
      </w:r>
      <w:r>
        <w:rPr>
          <w:rFonts w:hint="eastAsia" w:ascii="仿宋_GB2312" w:hAnsi="仿宋" w:eastAsia="仿宋_GB2312" w:cs="仿宋"/>
          <w:color w:val="333333"/>
          <w:sz w:val="32"/>
          <w:szCs w:val="32"/>
        </w:rPr>
        <w:t>综合各项指标，我办未发生违法违规现象。2017年本部门</w:t>
      </w:r>
      <w:r>
        <w:rPr>
          <w:rFonts w:hint="eastAsia" w:ascii="仿宋_GB2312" w:hAnsi="仿宋" w:eastAsia="仿宋_GB2312" w:cs="仿宋"/>
          <w:color w:val="333333"/>
          <w:kern w:val="0"/>
          <w:sz w:val="32"/>
          <w:szCs w:val="32"/>
        </w:rPr>
        <w:t>会议中心加固费用专项</w:t>
      </w:r>
      <w:r>
        <w:rPr>
          <w:rFonts w:hint="eastAsia" w:ascii="仿宋_GB2312" w:hAnsi="仿宋" w:eastAsia="仿宋_GB2312" w:cs="仿宋"/>
          <w:color w:val="333333"/>
          <w:sz w:val="32"/>
          <w:szCs w:val="32"/>
        </w:rPr>
        <w:t>资金支出绩效自评得</w:t>
      </w:r>
      <w:r>
        <w:rPr>
          <w:rFonts w:ascii="仿宋_GB2312" w:hAnsi="仿宋" w:eastAsia="仿宋_GB2312" w:cs="仿宋"/>
          <w:color w:val="333333"/>
          <w:sz w:val="32"/>
          <w:szCs w:val="32"/>
        </w:rPr>
        <w:t>分</w:t>
      </w:r>
      <w:r>
        <w:rPr>
          <w:rFonts w:hint="eastAsia" w:ascii="仿宋_GB2312" w:hAnsi="仿宋" w:eastAsia="仿宋_GB2312" w:cs="仿宋"/>
          <w:color w:val="333333"/>
          <w:sz w:val="32"/>
          <w:szCs w:val="32"/>
        </w:rPr>
        <w:t>100分</w:t>
      </w:r>
      <w:r>
        <w:rPr>
          <w:rFonts w:ascii="仿宋_GB2312" w:hAnsi="仿宋" w:eastAsia="仿宋_GB2312" w:cs="仿宋"/>
          <w:color w:val="333333"/>
          <w:sz w:val="32"/>
          <w:szCs w:val="32"/>
        </w:rPr>
        <w:t>，等级</w:t>
      </w:r>
      <w:r>
        <w:rPr>
          <w:rFonts w:hint="eastAsia" w:ascii="仿宋_GB2312" w:hAnsi="仿宋" w:eastAsia="仿宋_GB2312" w:cs="仿宋"/>
          <w:color w:val="333333"/>
          <w:sz w:val="32"/>
          <w:szCs w:val="32"/>
        </w:rPr>
        <w:t>为优秀</w:t>
      </w:r>
      <w:r>
        <w:rPr>
          <w:rFonts w:hint="eastAsia" w:ascii="仿宋" w:hAnsi="仿宋" w:eastAsia="仿宋" w:cs="仿宋"/>
          <w:color w:val="333333"/>
          <w:sz w:val="32"/>
          <w:szCs w:val="32"/>
        </w:rPr>
        <w:t>。</w:t>
      </w:r>
    </w:p>
    <w:p>
      <w:pPr>
        <w:spacing w:line="600" w:lineRule="exact"/>
        <w:ind w:firstLine="640" w:firstLineChars="200"/>
        <w:rPr>
          <w:rFonts w:ascii="仿宋" w:hAnsi="仿宋" w:eastAsia="仿宋" w:cs="仿宋"/>
          <w:b/>
          <w:bCs/>
          <w:sz w:val="32"/>
          <w:szCs w:val="32"/>
        </w:rPr>
      </w:pPr>
      <w:r>
        <w:rPr>
          <w:rFonts w:hint="eastAsia" w:ascii="仿宋" w:hAnsi="仿宋" w:eastAsia="仿宋" w:cs="仿宋"/>
          <w:sz w:val="32"/>
          <w:szCs w:val="32"/>
        </w:rPr>
        <w:t>（二）</w:t>
      </w:r>
      <w:r>
        <w:rPr>
          <w:rFonts w:hint="eastAsia" w:ascii="仿宋" w:hAnsi="仿宋" w:eastAsia="仿宋" w:cs="仿宋"/>
          <w:b/>
          <w:bCs/>
          <w:sz w:val="32"/>
          <w:szCs w:val="32"/>
        </w:rPr>
        <w:t>项目绩效目标完成情况</w:t>
      </w:r>
    </w:p>
    <w:p>
      <w:pPr>
        <w:ind w:firstLine="640" w:firstLineChars="200"/>
        <w:rPr>
          <w:rFonts w:ascii="仿宋_GB2312" w:hAnsi="宋体" w:eastAsia="仿宋_GB2312" w:cs="仿宋"/>
          <w:color w:val="333333"/>
          <w:sz w:val="32"/>
          <w:szCs w:val="32"/>
        </w:rPr>
      </w:pPr>
      <w:r>
        <w:rPr>
          <w:rFonts w:hint="eastAsia" w:ascii="仿宋_GB2312" w:hAnsi="宋体" w:eastAsia="仿宋_GB2312" w:cs="仿宋"/>
          <w:color w:val="333333"/>
          <w:sz w:val="32"/>
          <w:szCs w:val="32"/>
        </w:rPr>
        <w:t>该项目资金1个，总金额450万元，总体投入资金450万元，项目资金完成100%。</w:t>
      </w:r>
      <w:r>
        <w:rPr>
          <w:rFonts w:ascii="仿宋_GB2312" w:hAnsi="宋体" w:eastAsia="仿宋_GB2312" w:cs="仿宋"/>
          <w:color w:val="333333"/>
          <w:sz w:val="32"/>
          <w:szCs w:val="32"/>
        </w:rPr>
        <w:t xml:space="preserve"> </w:t>
      </w:r>
      <w:r>
        <w:rPr>
          <w:rFonts w:hint="eastAsia" w:ascii="仿宋_GB2312" w:hAnsi="宋体" w:eastAsia="仿宋_GB2312" w:cs="仿宋"/>
          <w:color w:val="333333"/>
          <w:sz w:val="32"/>
          <w:szCs w:val="32"/>
        </w:rPr>
        <w:t>具体情况如下：1、时效目标为12月底前完成，资金到位率100%，该目标已完成。2、成本目标为投入经费450万元，实际投入450万元，该目标已完成。3、数量目标为开会场次500场，该目标已完成。4、质量目标为确保如期完成加固任务，达安全性等级标准，该目标已完成。5、社会效益目标为创建优良整洁的会议场所，提供优质的会议服务，保障各项会议的顺利进行，该目标已完成。6、可持续影响目标为保障政府机关工作高效运转，该目标已完成。7、服务对象满意度目标为群众满意度90%以上，实际满意度为98%，该目标已完成。</w:t>
      </w:r>
    </w:p>
    <w:p>
      <w:pPr>
        <w:spacing w:line="600" w:lineRule="exact"/>
        <w:ind w:firstLine="640" w:firstLineChars="200"/>
        <w:rPr>
          <w:rFonts w:ascii="仿宋" w:hAnsi="仿宋" w:eastAsia="仿宋" w:cs="仿宋"/>
          <w:b/>
          <w:sz w:val="32"/>
          <w:szCs w:val="32"/>
        </w:rPr>
      </w:pPr>
      <w:r>
        <w:rPr>
          <w:rFonts w:hint="eastAsia" w:ascii="仿宋" w:hAnsi="仿宋" w:eastAsia="仿宋" w:cs="仿宋"/>
          <w:b/>
          <w:sz w:val="32"/>
          <w:szCs w:val="32"/>
        </w:rPr>
        <w:t>（三）项目绩效分析</w:t>
      </w:r>
    </w:p>
    <w:p>
      <w:pPr>
        <w:ind w:firstLine="640" w:firstLineChars="200"/>
        <w:rPr>
          <w:rFonts w:ascii="仿宋_GB2312" w:hAnsi="宋体" w:eastAsia="仿宋_GB2312" w:cs="仿宋"/>
          <w:color w:val="333333"/>
          <w:sz w:val="32"/>
          <w:szCs w:val="32"/>
        </w:rPr>
      </w:pPr>
      <w:r>
        <w:rPr>
          <w:rFonts w:hint="eastAsia" w:ascii="仿宋_GB2312" w:hAnsi="宋体" w:eastAsia="仿宋_GB2312" w:cs="仿宋"/>
          <w:color w:val="333333"/>
          <w:sz w:val="32"/>
          <w:szCs w:val="32"/>
        </w:rPr>
        <w:t>1、投入（分值30分，评价得分30分）</w:t>
      </w:r>
    </w:p>
    <w:p>
      <w:pPr>
        <w:ind w:firstLine="640" w:firstLineChars="200"/>
        <w:rPr>
          <w:rFonts w:ascii="仿宋_GB2312" w:hAnsi="宋体" w:eastAsia="仿宋_GB2312" w:cs="仿宋"/>
          <w:color w:val="333333"/>
          <w:sz w:val="32"/>
          <w:szCs w:val="32"/>
        </w:rPr>
      </w:pPr>
      <w:r>
        <w:rPr>
          <w:rFonts w:hint="eastAsia" w:ascii="仿宋_GB2312" w:hAnsi="宋体" w:eastAsia="仿宋_GB2312" w:cs="仿宋"/>
          <w:color w:val="333333"/>
          <w:sz w:val="32"/>
          <w:szCs w:val="32"/>
        </w:rPr>
        <w:t>（1）时效情况（分值3分，评价得分3分）</w:t>
      </w:r>
    </w:p>
    <w:p>
      <w:pPr>
        <w:ind w:firstLine="640" w:firstLineChars="200"/>
        <w:rPr>
          <w:rFonts w:ascii="仿宋_GB2312" w:hAnsi="宋体" w:eastAsia="仿宋_GB2312" w:cs="仿宋"/>
          <w:color w:val="333333"/>
          <w:sz w:val="32"/>
          <w:szCs w:val="32"/>
        </w:rPr>
      </w:pPr>
      <w:r>
        <w:rPr>
          <w:rFonts w:hint="eastAsia" w:ascii="仿宋_GB2312" w:hAnsi="宋体" w:eastAsia="仿宋_GB2312" w:cs="仿宋"/>
          <w:color w:val="333333"/>
          <w:sz w:val="32"/>
          <w:szCs w:val="32"/>
        </w:rPr>
        <w:t>项目实施事件与计划时间的差异情况得3分，项目实际实施月份不晚于计划月份的得满分，比计划月份晚1个月以内扣1分，比计划月份晚1个月以上不得分。</w:t>
      </w:r>
    </w:p>
    <w:p>
      <w:pPr>
        <w:ind w:firstLine="640" w:firstLineChars="200"/>
        <w:rPr>
          <w:rFonts w:ascii="仿宋_GB2312" w:hAnsi="宋体" w:eastAsia="仿宋_GB2312" w:cs="仿宋"/>
          <w:color w:val="333333"/>
          <w:sz w:val="32"/>
          <w:szCs w:val="32"/>
        </w:rPr>
      </w:pPr>
      <w:r>
        <w:rPr>
          <w:rFonts w:hint="eastAsia" w:ascii="仿宋_GB2312" w:hAnsi="宋体" w:eastAsia="仿宋_GB2312" w:cs="仿宋"/>
          <w:color w:val="333333"/>
          <w:sz w:val="32"/>
          <w:szCs w:val="32"/>
        </w:rPr>
        <w:t>（2）项目立项（分值14分，评价得分14分）</w:t>
      </w:r>
    </w:p>
    <w:p>
      <w:pPr>
        <w:ind w:firstLine="640" w:firstLineChars="200"/>
        <w:rPr>
          <w:rFonts w:ascii="仿宋_GB2312" w:hAnsi="宋体" w:eastAsia="仿宋_GB2312" w:cs="仿宋"/>
          <w:color w:val="333333"/>
          <w:sz w:val="32"/>
          <w:szCs w:val="32"/>
        </w:rPr>
      </w:pPr>
      <w:r>
        <w:rPr>
          <w:rFonts w:hint="eastAsia" w:ascii="宋体" w:hAnsi="宋体" w:cs="仿宋"/>
          <w:color w:val="333333"/>
          <w:sz w:val="32"/>
          <w:szCs w:val="32"/>
        </w:rPr>
        <w:t>①</w:t>
      </w:r>
      <w:r>
        <w:rPr>
          <w:rFonts w:hint="eastAsia" w:ascii="仿宋_GB2312" w:hAnsi="宋体" w:eastAsia="仿宋_GB2312" w:cs="仿宋"/>
          <w:color w:val="333333"/>
          <w:sz w:val="32"/>
          <w:szCs w:val="32"/>
        </w:rPr>
        <w:t>目标的合理性得3分，项目资金使用的预定目标设置客观、科学，体现财政支出的经济性、效率性和有效性得3分，不合理不得分。</w:t>
      </w:r>
    </w:p>
    <w:p>
      <w:pPr>
        <w:ind w:firstLine="640" w:firstLineChars="200"/>
        <w:rPr>
          <w:rFonts w:ascii="仿宋_GB2312" w:hAnsi="宋体" w:eastAsia="仿宋_GB2312" w:cs="仿宋"/>
          <w:color w:val="333333"/>
          <w:sz w:val="32"/>
          <w:szCs w:val="32"/>
        </w:rPr>
      </w:pPr>
      <w:r>
        <w:rPr>
          <w:rFonts w:hint="eastAsia" w:ascii="宋体" w:hAnsi="宋体" w:cs="仿宋"/>
          <w:color w:val="333333"/>
          <w:sz w:val="32"/>
          <w:szCs w:val="32"/>
        </w:rPr>
        <w:t>②</w:t>
      </w:r>
      <w:r>
        <w:rPr>
          <w:rFonts w:hint="eastAsia" w:ascii="仿宋_GB2312" w:hAnsi="宋体" w:eastAsia="仿宋_GB2312" w:cs="仿宋"/>
          <w:color w:val="333333"/>
          <w:sz w:val="32"/>
          <w:szCs w:val="32"/>
        </w:rPr>
        <w:t>绩效指标明确性得3分，项目绩效目标细化分解为具体的绩效指标、通过清晰、可衡量的指标值予以体现的得满分，一项不符合扣一分，严重的此项完全不得分。</w:t>
      </w:r>
    </w:p>
    <w:p>
      <w:pPr>
        <w:ind w:firstLine="640" w:firstLineChars="200"/>
        <w:rPr>
          <w:rFonts w:ascii="仿宋_GB2312" w:hAnsi="宋体" w:eastAsia="仿宋_GB2312" w:cs="仿宋"/>
          <w:color w:val="333333"/>
          <w:sz w:val="32"/>
          <w:szCs w:val="32"/>
        </w:rPr>
      </w:pPr>
      <w:r>
        <w:rPr>
          <w:rFonts w:hint="eastAsia" w:ascii="宋体" w:hAnsi="宋体" w:cs="仿宋"/>
          <w:color w:val="333333"/>
          <w:sz w:val="32"/>
          <w:szCs w:val="32"/>
        </w:rPr>
        <w:t>③</w:t>
      </w:r>
      <w:r>
        <w:rPr>
          <w:rFonts w:hint="eastAsia" w:ascii="仿宋_GB2312" w:hAnsi="宋体" w:eastAsia="仿宋_GB2312" w:cs="仿宋"/>
          <w:color w:val="333333"/>
          <w:sz w:val="32"/>
          <w:szCs w:val="32"/>
        </w:rPr>
        <w:t>指标完成率得3分，2017年12月前指标完成率100%得3分，指标完成率未达100%的按比例得分。</w:t>
      </w:r>
    </w:p>
    <w:p>
      <w:pPr>
        <w:ind w:firstLine="640" w:firstLineChars="200"/>
        <w:rPr>
          <w:rFonts w:ascii="仿宋_GB2312" w:hAnsi="宋体" w:eastAsia="仿宋_GB2312" w:cs="仿宋"/>
          <w:color w:val="333333"/>
          <w:sz w:val="32"/>
          <w:szCs w:val="32"/>
        </w:rPr>
      </w:pPr>
      <w:r>
        <w:rPr>
          <w:rFonts w:hint="eastAsia" w:ascii="宋体" w:hAnsi="宋体" w:cs="仿宋"/>
          <w:color w:val="333333"/>
          <w:sz w:val="32"/>
          <w:szCs w:val="32"/>
        </w:rPr>
        <w:t>④</w:t>
      </w:r>
      <w:r>
        <w:rPr>
          <w:rFonts w:hint="eastAsia" w:ascii="仿宋_GB2312" w:hAnsi="宋体" w:eastAsia="仿宋_GB2312" w:cs="仿宋"/>
          <w:color w:val="333333"/>
          <w:sz w:val="32"/>
          <w:szCs w:val="32"/>
        </w:rPr>
        <w:t>项目立项规范性得5分，①项目是否按照规定的程序申请立项；②所提交的文件、材料是否符合相关要求；③事前是否已经过必要的可行性研究、专家论证、风险评估、集体决策等。以上各项全符合得满分，一项不符合扣一分，严重的此项完全不得分。</w:t>
      </w:r>
    </w:p>
    <w:p>
      <w:pPr>
        <w:ind w:firstLine="640" w:firstLineChars="200"/>
        <w:rPr>
          <w:rFonts w:ascii="仿宋_GB2312" w:hAnsi="宋体" w:eastAsia="仿宋_GB2312" w:cs="仿宋"/>
          <w:color w:val="333333"/>
          <w:sz w:val="32"/>
          <w:szCs w:val="32"/>
        </w:rPr>
      </w:pPr>
      <w:r>
        <w:rPr>
          <w:rFonts w:hint="eastAsia" w:ascii="仿宋_GB2312" w:hAnsi="宋体" w:eastAsia="仿宋_GB2312" w:cs="仿宋"/>
          <w:color w:val="333333"/>
          <w:sz w:val="32"/>
          <w:szCs w:val="32"/>
        </w:rPr>
        <w:t>（3）资金落实（分值13分，评价得分13分）</w:t>
      </w:r>
    </w:p>
    <w:p>
      <w:pPr>
        <w:ind w:firstLine="640" w:firstLineChars="200"/>
        <w:rPr>
          <w:rFonts w:ascii="仿宋_GB2312" w:hAnsi="宋体" w:eastAsia="仿宋_GB2312" w:cs="仿宋"/>
          <w:color w:val="333333"/>
          <w:sz w:val="32"/>
          <w:szCs w:val="32"/>
        </w:rPr>
      </w:pPr>
      <w:r>
        <w:rPr>
          <w:rFonts w:hint="eastAsia" w:ascii="宋体" w:hAnsi="宋体" w:cs="仿宋"/>
          <w:color w:val="333333"/>
          <w:sz w:val="32"/>
          <w:szCs w:val="32"/>
        </w:rPr>
        <w:t>①</w:t>
      </w:r>
      <w:r>
        <w:rPr>
          <w:rFonts w:hint="eastAsia" w:ascii="仿宋_GB2312" w:hAnsi="宋体" w:eastAsia="仿宋_GB2312" w:cs="仿宋"/>
          <w:color w:val="333333"/>
          <w:sz w:val="32"/>
          <w:szCs w:val="32"/>
        </w:rPr>
        <w:t>成本控制率得4分，成本控制率A=截至年末累计支出数/项目概算或当年预算数。A</w:t>
      </w:r>
      <w:r>
        <w:rPr>
          <w:rFonts w:hint="eastAsia" w:ascii="宋体" w:hAnsi="宋体" w:cs="宋体"/>
          <w:color w:val="333333"/>
          <w:sz w:val="32"/>
          <w:szCs w:val="32"/>
        </w:rPr>
        <w:t>≦</w:t>
      </w:r>
      <w:r>
        <w:rPr>
          <w:rFonts w:hint="eastAsia" w:ascii="仿宋_GB2312" w:hAnsi="宋体" w:eastAsia="仿宋_GB2312" w:cs="仿宋"/>
          <w:color w:val="333333"/>
          <w:sz w:val="32"/>
          <w:szCs w:val="32"/>
        </w:rPr>
        <w:t>100%得满分；100%</w:t>
      </w:r>
      <w:r>
        <w:rPr>
          <w:rFonts w:hint="eastAsia" w:ascii="宋体" w:hAnsi="宋体" w:cs="宋体"/>
          <w:color w:val="333333"/>
          <w:sz w:val="32"/>
          <w:szCs w:val="32"/>
        </w:rPr>
        <w:t>﹤</w:t>
      </w:r>
      <w:r>
        <w:rPr>
          <w:rFonts w:hint="eastAsia" w:ascii="仿宋_GB2312" w:hAnsi="宋体" w:eastAsia="仿宋_GB2312" w:cs="仿宋"/>
          <w:color w:val="333333"/>
          <w:sz w:val="32"/>
          <w:szCs w:val="32"/>
        </w:rPr>
        <w:t>A</w:t>
      </w:r>
      <w:r>
        <w:rPr>
          <w:rFonts w:hint="eastAsia" w:ascii="宋体" w:hAnsi="宋体" w:cs="宋体"/>
          <w:color w:val="333333"/>
          <w:sz w:val="32"/>
          <w:szCs w:val="32"/>
        </w:rPr>
        <w:t>≦</w:t>
      </w:r>
      <w:r>
        <w:rPr>
          <w:rFonts w:hint="eastAsia" w:ascii="仿宋_GB2312" w:hAnsi="宋体" w:eastAsia="仿宋_GB2312" w:cs="仿宋"/>
          <w:color w:val="333333"/>
          <w:sz w:val="32"/>
          <w:szCs w:val="32"/>
        </w:rPr>
        <w:t>105%时，得分为此项指标满分值-100×（A-100%）（如：A=102.8%，此项指标权重4分，则得分为4-2.8=1.2分），A＞105%时不得分。</w:t>
      </w:r>
    </w:p>
    <w:p>
      <w:pPr>
        <w:ind w:firstLine="640" w:firstLineChars="200"/>
        <w:rPr>
          <w:rFonts w:ascii="仿宋_GB2312" w:hAnsi="宋体" w:eastAsia="仿宋_GB2312" w:cs="仿宋"/>
          <w:color w:val="333333"/>
          <w:sz w:val="32"/>
          <w:szCs w:val="32"/>
        </w:rPr>
      </w:pPr>
      <w:r>
        <w:rPr>
          <w:rFonts w:hint="eastAsia" w:ascii="宋体" w:hAnsi="宋体" w:cs="仿宋"/>
          <w:color w:val="333333"/>
          <w:sz w:val="32"/>
          <w:szCs w:val="32"/>
        </w:rPr>
        <w:t>②</w:t>
      </w:r>
      <w:r>
        <w:rPr>
          <w:rFonts w:hint="eastAsia" w:ascii="仿宋_GB2312" w:hAnsi="宋体" w:eastAsia="仿宋_GB2312" w:cs="仿宋"/>
          <w:color w:val="333333"/>
          <w:sz w:val="32"/>
          <w:szCs w:val="32"/>
        </w:rPr>
        <w:t>资金使用率得4分，2017年12月前资金使用率100%得4分，资金使用率未达100%的按比例得分。</w:t>
      </w:r>
    </w:p>
    <w:p>
      <w:pPr>
        <w:ind w:firstLine="640" w:firstLineChars="200"/>
        <w:rPr>
          <w:rFonts w:ascii="仿宋_GB2312" w:hAnsi="宋体" w:eastAsia="仿宋_GB2312" w:cs="仿宋"/>
          <w:color w:val="333333"/>
          <w:sz w:val="32"/>
          <w:szCs w:val="32"/>
        </w:rPr>
      </w:pPr>
      <w:r>
        <w:rPr>
          <w:rFonts w:hint="eastAsia" w:ascii="宋体" w:hAnsi="宋体" w:cs="仿宋"/>
          <w:color w:val="333333"/>
          <w:sz w:val="32"/>
          <w:szCs w:val="32"/>
        </w:rPr>
        <w:t>③</w:t>
      </w:r>
      <w:r>
        <w:rPr>
          <w:rFonts w:hint="eastAsia" w:ascii="仿宋_GB2312" w:hAnsi="宋体" w:eastAsia="仿宋_GB2312" w:cs="仿宋"/>
          <w:color w:val="333333"/>
          <w:sz w:val="32"/>
          <w:szCs w:val="32"/>
        </w:rPr>
        <w:t>资金到位率得5分，2017年9月前资金到位率100%得5分，2017年12月前资金到位率100%得3分，资金未到位不得分。</w:t>
      </w:r>
    </w:p>
    <w:p>
      <w:pPr>
        <w:ind w:firstLine="640" w:firstLineChars="200"/>
        <w:rPr>
          <w:rFonts w:ascii="仿宋_GB2312" w:hAnsi="宋体" w:eastAsia="仿宋_GB2312" w:cs="仿宋"/>
          <w:color w:val="333333"/>
          <w:sz w:val="32"/>
          <w:szCs w:val="32"/>
        </w:rPr>
      </w:pPr>
      <w:r>
        <w:rPr>
          <w:rFonts w:hint="eastAsia" w:ascii="仿宋_GB2312" w:hAnsi="宋体" w:eastAsia="仿宋_GB2312" w:cs="仿宋"/>
          <w:color w:val="333333"/>
          <w:sz w:val="32"/>
          <w:szCs w:val="32"/>
        </w:rPr>
        <w:t>2、过程（分值30分，评价得分30分）</w:t>
      </w:r>
    </w:p>
    <w:p>
      <w:pPr>
        <w:ind w:firstLine="640" w:firstLineChars="200"/>
        <w:rPr>
          <w:rFonts w:ascii="仿宋_GB2312" w:hAnsi="宋体" w:eastAsia="仿宋_GB2312" w:cs="仿宋"/>
          <w:color w:val="333333"/>
          <w:sz w:val="32"/>
          <w:szCs w:val="32"/>
        </w:rPr>
      </w:pPr>
      <w:r>
        <w:rPr>
          <w:rFonts w:hint="eastAsia" w:ascii="仿宋_GB2312" w:hAnsi="宋体" w:eastAsia="仿宋_GB2312" w:cs="仿宋"/>
          <w:color w:val="333333"/>
          <w:sz w:val="32"/>
          <w:szCs w:val="32"/>
        </w:rPr>
        <w:t>（1）业务管理（分值15分，评价得分15分）</w:t>
      </w:r>
    </w:p>
    <w:p>
      <w:pPr>
        <w:ind w:firstLine="640" w:firstLineChars="200"/>
        <w:rPr>
          <w:rFonts w:ascii="仿宋_GB2312" w:hAnsi="宋体" w:eastAsia="仿宋_GB2312" w:cs="仿宋"/>
          <w:color w:val="333333"/>
          <w:sz w:val="32"/>
          <w:szCs w:val="32"/>
        </w:rPr>
      </w:pPr>
      <w:r>
        <w:rPr>
          <w:rFonts w:hint="eastAsia" w:ascii="宋体" w:hAnsi="宋体" w:cs="仿宋"/>
          <w:color w:val="333333"/>
          <w:sz w:val="32"/>
          <w:szCs w:val="32"/>
        </w:rPr>
        <w:t>①</w:t>
      </w:r>
      <w:r>
        <w:rPr>
          <w:rFonts w:hint="eastAsia" w:ascii="仿宋_GB2312" w:hAnsi="宋体" w:eastAsia="仿宋_GB2312" w:cs="仿宋"/>
          <w:color w:val="333333"/>
          <w:sz w:val="32"/>
          <w:szCs w:val="32"/>
        </w:rPr>
        <w:t>管理制度健全性得5分，有出台项目资金管理办法得5分，未出台不得分。</w:t>
      </w:r>
    </w:p>
    <w:p>
      <w:pPr>
        <w:ind w:firstLine="640" w:firstLineChars="200"/>
        <w:rPr>
          <w:rFonts w:ascii="仿宋_GB2312" w:hAnsi="宋体" w:eastAsia="仿宋_GB2312" w:cs="仿宋"/>
          <w:color w:val="333333"/>
          <w:sz w:val="32"/>
          <w:szCs w:val="32"/>
        </w:rPr>
      </w:pPr>
      <w:r>
        <w:rPr>
          <w:rFonts w:hint="eastAsia" w:ascii="宋体" w:hAnsi="宋体" w:cs="仿宋"/>
          <w:color w:val="333333"/>
          <w:sz w:val="32"/>
          <w:szCs w:val="32"/>
        </w:rPr>
        <w:t>②</w:t>
      </w:r>
      <w:r>
        <w:rPr>
          <w:rFonts w:hint="eastAsia" w:ascii="仿宋_GB2312" w:hAnsi="宋体" w:eastAsia="仿宋_GB2312" w:cs="仿宋"/>
          <w:color w:val="333333"/>
          <w:sz w:val="32"/>
          <w:szCs w:val="32"/>
        </w:rPr>
        <w:t>制度执行有效性得5分，①是否遵守相关法律法规和业务管理规定；②项目合同书、验收报告、技术鉴定等资料是否齐全并及时归档；③项目实施的人员条件、场地设备、信息支撑等是否落实到位。以上各项全符合得满分，一项不符合扣一分，严重的此项完全不得分。</w:t>
      </w:r>
    </w:p>
    <w:p>
      <w:pPr>
        <w:ind w:firstLine="640" w:firstLineChars="200"/>
        <w:rPr>
          <w:rFonts w:ascii="仿宋_GB2312" w:hAnsi="宋体" w:eastAsia="仿宋_GB2312" w:cs="仿宋"/>
          <w:color w:val="333333"/>
          <w:sz w:val="32"/>
          <w:szCs w:val="32"/>
        </w:rPr>
      </w:pPr>
      <w:r>
        <w:rPr>
          <w:rFonts w:hint="eastAsia" w:ascii="宋体" w:hAnsi="宋体" w:cs="仿宋"/>
          <w:color w:val="333333"/>
          <w:sz w:val="32"/>
          <w:szCs w:val="32"/>
        </w:rPr>
        <w:t>③</w:t>
      </w:r>
      <w:r>
        <w:rPr>
          <w:rFonts w:hint="eastAsia" w:ascii="仿宋_GB2312" w:hAnsi="宋体" w:eastAsia="仿宋_GB2312" w:cs="仿宋"/>
          <w:color w:val="333333"/>
          <w:sz w:val="32"/>
          <w:szCs w:val="32"/>
        </w:rPr>
        <w:t>项目质量可控性得5分，①是否具有或制定了相应的项目质量要求或标准；②是否采取了必需的控制措施或手段。以上各项全符合得满分，一项不符合扣一分，严重的此项完全不得分。</w:t>
      </w:r>
    </w:p>
    <w:p>
      <w:pPr>
        <w:ind w:firstLine="640" w:firstLineChars="200"/>
        <w:rPr>
          <w:rFonts w:ascii="仿宋_GB2312" w:hAnsi="宋体" w:eastAsia="仿宋_GB2312" w:cs="仿宋"/>
          <w:color w:val="333333"/>
          <w:sz w:val="32"/>
          <w:szCs w:val="32"/>
        </w:rPr>
      </w:pPr>
      <w:r>
        <w:rPr>
          <w:rFonts w:hint="eastAsia" w:ascii="仿宋_GB2312" w:hAnsi="宋体" w:eastAsia="仿宋_GB2312" w:cs="仿宋"/>
          <w:color w:val="333333"/>
          <w:sz w:val="32"/>
          <w:szCs w:val="32"/>
        </w:rPr>
        <w:t>（2）资金使用管理（分值15分，评价得分15分）</w:t>
      </w:r>
    </w:p>
    <w:p>
      <w:pPr>
        <w:ind w:firstLine="640" w:firstLineChars="200"/>
        <w:rPr>
          <w:rFonts w:ascii="仿宋_GB2312" w:hAnsi="宋体" w:eastAsia="仿宋_GB2312" w:cs="仿宋"/>
          <w:color w:val="333333"/>
          <w:sz w:val="32"/>
          <w:szCs w:val="32"/>
        </w:rPr>
      </w:pPr>
      <w:r>
        <w:rPr>
          <w:rFonts w:hint="eastAsia" w:ascii="宋体" w:hAnsi="宋体" w:cs="仿宋"/>
          <w:color w:val="333333"/>
          <w:sz w:val="32"/>
          <w:szCs w:val="32"/>
        </w:rPr>
        <w:t>①</w:t>
      </w:r>
      <w:r>
        <w:rPr>
          <w:rFonts w:hint="eastAsia" w:ascii="仿宋_GB2312" w:hAnsi="宋体" w:eastAsia="仿宋_GB2312" w:cs="仿宋"/>
          <w:color w:val="333333"/>
          <w:sz w:val="32"/>
          <w:szCs w:val="32"/>
        </w:rPr>
        <w:t>财务管理制度健全性得5分，内部财务管理制度、会计核算制度健全得5分，不健全不得分。</w:t>
      </w:r>
    </w:p>
    <w:p>
      <w:pPr>
        <w:ind w:firstLine="640" w:firstLineChars="200"/>
        <w:rPr>
          <w:rFonts w:ascii="仿宋_GB2312" w:hAnsi="宋体" w:eastAsia="仿宋_GB2312" w:cs="仿宋"/>
          <w:color w:val="333333"/>
          <w:sz w:val="32"/>
          <w:szCs w:val="32"/>
        </w:rPr>
      </w:pPr>
      <w:r>
        <w:rPr>
          <w:rFonts w:hint="eastAsia" w:ascii="宋体" w:hAnsi="宋体" w:cs="仿宋"/>
          <w:color w:val="333333"/>
          <w:sz w:val="32"/>
          <w:szCs w:val="32"/>
        </w:rPr>
        <w:t>②</w:t>
      </w:r>
      <w:r>
        <w:rPr>
          <w:rFonts w:hint="eastAsia" w:ascii="仿宋_GB2312" w:hAnsi="宋体" w:eastAsia="仿宋_GB2312" w:cs="仿宋"/>
          <w:color w:val="333333"/>
          <w:sz w:val="32"/>
          <w:szCs w:val="32"/>
        </w:rPr>
        <w:t>资金使用合规性得5分，资金使用严格按照规定执行得5分，使用不规范不得分。</w:t>
      </w:r>
    </w:p>
    <w:p>
      <w:pPr>
        <w:ind w:firstLine="640" w:firstLineChars="200"/>
        <w:rPr>
          <w:rFonts w:ascii="仿宋_GB2312" w:hAnsi="宋体" w:eastAsia="仿宋_GB2312" w:cs="仿宋"/>
          <w:color w:val="333333"/>
          <w:sz w:val="32"/>
          <w:szCs w:val="32"/>
        </w:rPr>
      </w:pPr>
      <w:r>
        <w:rPr>
          <w:rFonts w:hint="eastAsia" w:ascii="宋体" w:hAnsi="宋体" w:cs="仿宋"/>
          <w:color w:val="333333"/>
          <w:sz w:val="32"/>
          <w:szCs w:val="32"/>
        </w:rPr>
        <w:t>③</w:t>
      </w:r>
      <w:r>
        <w:rPr>
          <w:rFonts w:hint="eastAsia" w:ascii="仿宋_GB2312" w:hAnsi="宋体" w:eastAsia="仿宋_GB2312" w:cs="仿宋"/>
          <w:color w:val="333333"/>
          <w:sz w:val="32"/>
          <w:szCs w:val="32"/>
        </w:rPr>
        <w:t>项目资金安全性得5分，①是否符合项目预算批复或合同规定的用途；②是否存在截留、挤占、挪用等情况。以上各项全符合得满分，一项不符合扣一分，严重的此项完全不得分。</w:t>
      </w:r>
    </w:p>
    <w:p>
      <w:pPr>
        <w:ind w:firstLine="640" w:firstLineChars="200"/>
        <w:rPr>
          <w:rFonts w:ascii="仿宋_GB2312" w:hAnsi="宋体" w:eastAsia="仿宋_GB2312" w:cs="仿宋"/>
          <w:color w:val="333333"/>
          <w:sz w:val="32"/>
          <w:szCs w:val="32"/>
        </w:rPr>
      </w:pPr>
      <w:r>
        <w:rPr>
          <w:rFonts w:hint="eastAsia" w:ascii="仿宋_GB2312" w:hAnsi="宋体" w:eastAsia="仿宋_GB2312" w:cs="仿宋"/>
          <w:color w:val="333333"/>
          <w:sz w:val="32"/>
          <w:szCs w:val="32"/>
        </w:rPr>
        <w:t>3、产出与效益（分值40分，评价得分40分）</w:t>
      </w:r>
    </w:p>
    <w:p>
      <w:pPr>
        <w:ind w:firstLine="640" w:firstLineChars="200"/>
        <w:rPr>
          <w:rFonts w:ascii="仿宋_GB2312" w:hAnsi="宋体" w:eastAsia="仿宋_GB2312" w:cs="仿宋"/>
          <w:color w:val="333333"/>
          <w:sz w:val="32"/>
          <w:szCs w:val="32"/>
        </w:rPr>
      </w:pPr>
      <w:r>
        <w:rPr>
          <w:rFonts w:hint="eastAsia" w:ascii="仿宋_GB2312" w:hAnsi="宋体" w:eastAsia="仿宋_GB2312" w:cs="仿宋"/>
          <w:color w:val="333333"/>
          <w:sz w:val="32"/>
          <w:szCs w:val="32"/>
        </w:rPr>
        <w:t>（1）产出数量（分值10分，评价得分10分）</w:t>
      </w:r>
    </w:p>
    <w:p>
      <w:pPr>
        <w:ind w:firstLine="640" w:firstLineChars="200"/>
        <w:rPr>
          <w:rFonts w:ascii="仿宋_GB2312" w:hAnsi="宋体" w:eastAsia="仿宋_GB2312" w:cs="仿宋"/>
          <w:color w:val="333333"/>
          <w:sz w:val="32"/>
          <w:szCs w:val="32"/>
        </w:rPr>
      </w:pPr>
      <w:r>
        <w:rPr>
          <w:rFonts w:hint="eastAsia" w:ascii="仿宋_GB2312" w:hAnsi="宋体" w:eastAsia="仿宋_GB2312" w:cs="仿宋"/>
          <w:color w:val="333333"/>
          <w:sz w:val="32"/>
          <w:szCs w:val="32"/>
        </w:rPr>
        <w:t>围绕区委、区政府的各项中心工作，全年完成500场次会议服务得10分,每少30场扣1分。</w:t>
      </w:r>
    </w:p>
    <w:p>
      <w:pPr>
        <w:ind w:firstLine="640" w:firstLineChars="200"/>
        <w:rPr>
          <w:rFonts w:ascii="仿宋_GB2312" w:hAnsi="宋体" w:eastAsia="仿宋_GB2312" w:cs="仿宋"/>
          <w:color w:val="333333"/>
          <w:sz w:val="32"/>
          <w:szCs w:val="32"/>
        </w:rPr>
      </w:pPr>
      <w:r>
        <w:rPr>
          <w:rFonts w:hint="eastAsia" w:ascii="仿宋_GB2312" w:hAnsi="宋体" w:eastAsia="仿宋_GB2312" w:cs="仿宋"/>
          <w:color w:val="333333"/>
          <w:sz w:val="32"/>
          <w:szCs w:val="32"/>
        </w:rPr>
        <w:t>（2）产出质量（分值10分，评价得分10分）</w:t>
      </w:r>
    </w:p>
    <w:p>
      <w:pPr>
        <w:ind w:firstLine="640" w:firstLineChars="200"/>
        <w:rPr>
          <w:rFonts w:ascii="仿宋_GB2312" w:hAnsi="宋体" w:eastAsia="仿宋_GB2312" w:cs="仿宋"/>
          <w:color w:val="333333"/>
          <w:sz w:val="32"/>
          <w:szCs w:val="32"/>
        </w:rPr>
      </w:pPr>
      <w:r>
        <w:rPr>
          <w:rFonts w:hint="eastAsia" w:ascii="仿宋_GB2312" w:hAnsi="宋体" w:eastAsia="仿宋_GB2312" w:cs="仿宋"/>
          <w:color w:val="333333"/>
          <w:sz w:val="32"/>
          <w:szCs w:val="32"/>
        </w:rPr>
        <w:t>2017年12月前如期完成加固任务达安全性等级标准得10分，未达标准的按比例得分。</w:t>
      </w:r>
    </w:p>
    <w:p>
      <w:pPr>
        <w:ind w:firstLine="640" w:firstLineChars="200"/>
        <w:rPr>
          <w:rFonts w:ascii="仿宋_GB2312" w:hAnsi="宋体" w:eastAsia="仿宋_GB2312" w:cs="仿宋"/>
          <w:color w:val="333333"/>
          <w:sz w:val="32"/>
          <w:szCs w:val="32"/>
        </w:rPr>
      </w:pPr>
      <w:r>
        <w:rPr>
          <w:rFonts w:hint="eastAsia" w:ascii="仿宋_GB2312" w:hAnsi="宋体" w:eastAsia="仿宋_GB2312" w:cs="仿宋"/>
          <w:color w:val="333333"/>
          <w:sz w:val="32"/>
          <w:szCs w:val="32"/>
        </w:rPr>
        <w:t>（3）可持续效益（分值10分，评价得分10分）</w:t>
      </w:r>
    </w:p>
    <w:p>
      <w:pPr>
        <w:ind w:firstLine="640" w:firstLineChars="200"/>
        <w:rPr>
          <w:rFonts w:ascii="仿宋_GB2312" w:hAnsi="宋体" w:eastAsia="仿宋_GB2312" w:cs="仿宋"/>
          <w:color w:val="333333"/>
          <w:sz w:val="32"/>
          <w:szCs w:val="32"/>
        </w:rPr>
      </w:pPr>
      <w:r>
        <w:rPr>
          <w:rFonts w:hint="eastAsia" w:ascii="仿宋_GB2312" w:hAnsi="宋体" w:eastAsia="仿宋_GB2312" w:cs="仿宋"/>
          <w:color w:val="333333"/>
          <w:sz w:val="32"/>
          <w:szCs w:val="32"/>
        </w:rPr>
        <w:t>保障政府机关工作高效运转得10分,保障较差不得分。</w:t>
      </w:r>
    </w:p>
    <w:p>
      <w:pPr>
        <w:ind w:firstLine="640" w:firstLineChars="200"/>
        <w:rPr>
          <w:rFonts w:ascii="仿宋_GB2312" w:hAnsi="宋体" w:eastAsia="仿宋_GB2312" w:cs="仿宋"/>
          <w:color w:val="333333"/>
          <w:sz w:val="32"/>
          <w:szCs w:val="32"/>
        </w:rPr>
      </w:pPr>
      <w:r>
        <w:rPr>
          <w:rFonts w:hint="eastAsia" w:ascii="仿宋_GB2312" w:hAnsi="宋体" w:eastAsia="仿宋_GB2312" w:cs="仿宋"/>
          <w:color w:val="333333"/>
          <w:sz w:val="32"/>
          <w:szCs w:val="32"/>
        </w:rPr>
        <w:t>（4）服务对象满意度（分值10分，评价得分10分）</w:t>
      </w:r>
    </w:p>
    <w:p>
      <w:pPr>
        <w:ind w:firstLine="640" w:firstLineChars="200"/>
        <w:rPr>
          <w:rFonts w:ascii="仿宋_GB2312" w:hAnsi="宋体" w:eastAsia="仿宋_GB2312" w:cs="仿宋"/>
          <w:color w:val="333333"/>
          <w:sz w:val="32"/>
          <w:szCs w:val="32"/>
        </w:rPr>
      </w:pPr>
      <w:r>
        <w:rPr>
          <w:rFonts w:hint="eastAsia" w:ascii="仿宋_GB2312" w:hAnsi="宋体" w:eastAsia="仿宋_GB2312" w:cs="仿宋"/>
          <w:color w:val="333333"/>
          <w:sz w:val="32"/>
          <w:szCs w:val="32"/>
        </w:rPr>
        <w:t>服务对象满意率90%以上得10分，80-90%得3分，80%以下不得分。</w:t>
      </w:r>
    </w:p>
    <w:p>
      <w:pPr>
        <w:spacing w:line="600" w:lineRule="exact"/>
        <w:ind w:firstLine="643" w:firstLineChars="200"/>
        <w:rPr>
          <w:rFonts w:ascii="黑体" w:hAnsi="Times New Roman" w:eastAsia="黑体" w:cs="Times New Roman"/>
          <w:b/>
          <w:bCs/>
          <w:sz w:val="32"/>
          <w:szCs w:val="32"/>
        </w:rPr>
      </w:pPr>
      <w:r>
        <w:rPr>
          <w:rFonts w:hint="eastAsia" w:ascii="黑体" w:hAnsi="Times New Roman" w:eastAsia="黑体" w:cs="黑体"/>
          <w:b/>
          <w:bCs/>
          <w:sz w:val="32"/>
          <w:szCs w:val="32"/>
        </w:rPr>
        <w:t>四、工作成效</w:t>
      </w:r>
    </w:p>
    <w:p>
      <w:pPr>
        <w:spacing w:line="600" w:lineRule="exact"/>
        <w:ind w:firstLine="640" w:firstLineChars="200"/>
        <w:rPr>
          <w:rFonts w:ascii="仿宋_GB2312" w:hAnsi="宋体" w:eastAsia="仿宋_GB2312" w:cs="仿宋"/>
          <w:color w:val="333333"/>
          <w:sz w:val="32"/>
          <w:szCs w:val="32"/>
        </w:rPr>
      </w:pPr>
      <w:r>
        <w:rPr>
          <w:rFonts w:hint="eastAsia" w:ascii="仿宋_GB2312" w:hAnsi="宋体" w:eastAsia="仿宋_GB2312" w:cs="仿宋"/>
          <w:color w:val="333333"/>
          <w:sz w:val="32"/>
          <w:szCs w:val="32"/>
        </w:rPr>
        <w:t>2017年全年计划投入450万，实际投入450万元，资金管理合法合规。围绕区委、区政府的各项中心工作，全年完成500场次会议服务，如期完成加固任务达到安全性等级标准，保障了政府机关工作高效运转，服务对象满意度达98%。</w:t>
      </w:r>
    </w:p>
    <w:p>
      <w:pPr>
        <w:spacing w:line="600" w:lineRule="exact"/>
        <w:ind w:firstLine="643" w:firstLineChars="200"/>
        <w:rPr>
          <w:rFonts w:ascii="黑体" w:hAnsi="Times New Roman" w:eastAsia="黑体" w:cs="Times New Roman"/>
          <w:b/>
          <w:bCs/>
          <w:sz w:val="32"/>
          <w:szCs w:val="32"/>
        </w:rPr>
      </w:pPr>
      <w:r>
        <w:rPr>
          <w:rFonts w:hint="eastAsia" w:ascii="黑体" w:hAnsi="Times New Roman" w:eastAsia="黑体" w:cs="黑体"/>
          <w:b/>
          <w:bCs/>
          <w:sz w:val="32"/>
          <w:szCs w:val="32"/>
        </w:rPr>
        <w:t>五、项目存在的问题和改进措施</w:t>
      </w:r>
    </w:p>
    <w:p>
      <w:pPr>
        <w:spacing w:line="60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w:t>
      </w:r>
      <w:r>
        <w:rPr>
          <w:rFonts w:hint="eastAsia" w:ascii="Times New Roman" w:hAnsi="Times New Roman" w:eastAsia="仿宋_GB2312" w:cs="仿宋_GB2312"/>
          <w:b/>
          <w:bCs/>
          <w:sz w:val="32"/>
          <w:szCs w:val="32"/>
        </w:rPr>
        <w:t>项目存在的问题</w:t>
      </w:r>
    </w:p>
    <w:p>
      <w:pPr>
        <w:spacing w:line="600" w:lineRule="exact"/>
        <w:ind w:firstLine="640" w:firstLineChars="200"/>
        <w:rPr>
          <w:rFonts w:ascii="仿宋_GB2312" w:hAnsi="宋体" w:eastAsia="仿宋_GB2312" w:cs="仿宋"/>
          <w:color w:val="333333"/>
          <w:sz w:val="32"/>
          <w:szCs w:val="32"/>
        </w:rPr>
      </w:pPr>
      <w:r>
        <w:rPr>
          <w:rFonts w:hint="eastAsia" w:ascii="仿宋_GB2312" w:hAnsi="宋体" w:eastAsia="仿宋_GB2312" w:cs="仿宋"/>
          <w:color w:val="333333"/>
          <w:sz w:val="32"/>
          <w:szCs w:val="32"/>
        </w:rPr>
        <w:t>一是施工过程中工程建设进度较计划进度要求存在较滞后现象；二是相关人员对采购工作的细节和注意点没有那么专业，采购意识较不强。</w:t>
      </w:r>
    </w:p>
    <w:p>
      <w:pPr>
        <w:spacing w:line="600" w:lineRule="exact"/>
        <w:ind w:firstLine="640" w:firstLineChars="200"/>
        <w:rPr>
          <w:rFonts w:ascii="Times New Roman" w:hAnsi="Times New Roman" w:eastAsia="仿宋_GB2312" w:cs="仿宋_GB2312"/>
          <w:b/>
          <w:bCs/>
          <w:sz w:val="32"/>
          <w:szCs w:val="32"/>
        </w:rPr>
      </w:pPr>
      <w:r>
        <w:rPr>
          <w:rFonts w:hint="eastAsia" w:ascii="Times New Roman" w:hAnsi="Times New Roman" w:eastAsia="仿宋_GB2312" w:cs="仿宋_GB2312"/>
          <w:sz w:val="32"/>
          <w:szCs w:val="32"/>
        </w:rPr>
        <w:t>（二）</w:t>
      </w:r>
      <w:r>
        <w:rPr>
          <w:rFonts w:hint="eastAsia" w:ascii="Times New Roman" w:hAnsi="Times New Roman" w:eastAsia="仿宋_GB2312" w:cs="仿宋_GB2312"/>
          <w:b/>
          <w:bCs/>
          <w:sz w:val="32"/>
          <w:szCs w:val="32"/>
        </w:rPr>
        <w:t>项目改进措施</w:t>
      </w:r>
    </w:p>
    <w:p>
      <w:pPr>
        <w:spacing w:line="600" w:lineRule="exact"/>
        <w:ind w:firstLine="627" w:firstLineChars="196"/>
        <w:rPr>
          <w:rFonts w:ascii="仿宋_GB2312" w:hAnsi="宋体" w:eastAsia="仿宋_GB2312" w:cs="仿宋"/>
          <w:color w:val="333333"/>
          <w:sz w:val="32"/>
          <w:szCs w:val="32"/>
        </w:rPr>
      </w:pPr>
      <w:r>
        <w:rPr>
          <w:rFonts w:hint="eastAsia" w:ascii="仿宋_GB2312" w:hAnsi="宋体" w:eastAsia="仿宋_GB2312" w:cs="仿宋"/>
          <w:color w:val="333333"/>
          <w:sz w:val="32"/>
          <w:szCs w:val="32"/>
        </w:rPr>
        <w:t>一是下一步将有针对性地加强对事中事后监管工作的指导，完善建设进度控制方案，做好开工、完工“双控”工作，按照计划的时间节点，倒排工期，抓紧推进项目建设进度，切实按照项目申报文件的标准组织建设。二是积极钻研政府采购法律和规范，结合工作实践经验，保证采购的公开公平公正，并加强财务信息方面的管理，进一步规范资金管理制度，提高资金使用率，提高人员的专业素质和管理水平，扎扎实实做好加固工程工作，保障政府机关工作高效运转。</w:t>
      </w:r>
    </w:p>
    <w:p>
      <w:pPr>
        <w:spacing w:line="600" w:lineRule="exact"/>
        <w:ind w:firstLine="630" w:firstLineChars="196"/>
        <w:rPr>
          <w:rFonts w:ascii="黑体" w:hAnsi="黑体" w:eastAsia="黑体" w:cs="黑体"/>
          <w:b/>
          <w:bCs/>
          <w:kern w:val="0"/>
          <w:sz w:val="32"/>
          <w:szCs w:val="32"/>
        </w:rPr>
      </w:pPr>
      <w:r>
        <w:rPr>
          <w:rFonts w:hint="eastAsia" w:ascii="黑体" w:hAnsi="黑体" w:eastAsia="黑体" w:cs="黑体"/>
          <w:b/>
          <w:bCs/>
          <w:kern w:val="0"/>
          <w:sz w:val="32"/>
          <w:szCs w:val="32"/>
        </w:rPr>
        <w:t>六、相关意见建议</w:t>
      </w:r>
    </w:p>
    <w:p>
      <w:pPr>
        <w:spacing w:line="560" w:lineRule="exact"/>
        <w:ind w:firstLine="640" w:firstLineChars="200"/>
        <w:rPr>
          <w:rFonts w:ascii="仿宋_GB2312" w:hAnsi="仿宋" w:eastAsia="仿宋_GB2312" w:cs="仿宋"/>
          <w:color w:val="333333"/>
          <w:sz w:val="32"/>
          <w:szCs w:val="32"/>
        </w:rPr>
      </w:pPr>
      <w:r>
        <w:rPr>
          <w:rFonts w:hint="eastAsia" w:ascii="仿宋_GB2312" w:hAnsi="仿宋" w:eastAsia="仿宋_GB2312" w:cs="仿宋"/>
          <w:color w:val="333333"/>
          <w:sz w:val="32"/>
          <w:szCs w:val="32"/>
        </w:rPr>
        <w:t>我办将在今后的工作中加强财政预算会议中心加固费用</w:t>
      </w:r>
      <w:r>
        <w:rPr>
          <w:rFonts w:ascii="仿宋_GB2312" w:hAnsi="仿宋" w:eastAsia="仿宋_GB2312" w:cs="仿宋"/>
          <w:color w:val="333333"/>
          <w:sz w:val="32"/>
          <w:szCs w:val="32"/>
        </w:rPr>
        <w:t>专项</w:t>
      </w:r>
      <w:r>
        <w:rPr>
          <w:rFonts w:hint="eastAsia" w:ascii="仿宋_GB2312" w:hAnsi="仿宋" w:eastAsia="仿宋_GB2312" w:cs="仿宋"/>
          <w:color w:val="333333"/>
          <w:sz w:val="32"/>
          <w:szCs w:val="32"/>
        </w:rPr>
        <w:t>资金</w:t>
      </w:r>
      <w:r>
        <w:rPr>
          <w:rFonts w:ascii="仿宋_GB2312" w:hAnsi="仿宋" w:eastAsia="仿宋_GB2312" w:cs="仿宋"/>
          <w:color w:val="333333"/>
          <w:sz w:val="32"/>
          <w:szCs w:val="32"/>
        </w:rPr>
        <w:t>支出</w:t>
      </w:r>
      <w:r>
        <w:rPr>
          <w:rFonts w:hint="eastAsia" w:ascii="仿宋_GB2312" w:hAnsi="仿宋" w:eastAsia="仿宋_GB2312" w:cs="仿宋"/>
          <w:color w:val="333333"/>
          <w:sz w:val="32"/>
          <w:szCs w:val="32"/>
        </w:rPr>
        <w:t>项目的管理，及时</w:t>
      </w:r>
      <w:r>
        <w:rPr>
          <w:rFonts w:ascii="仿宋_GB2312" w:hAnsi="仿宋" w:eastAsia="仿宋_GB2312" w:cs="仿宋"/>
          <w:color w:val="333333"/>
          <w:sz w:val="32"/>
          <w:szCs w:val="32"/>
        </w:rPr>
        <w:t>对</w:t>
      </w:r>
      <w:r>
        <w:rPr>
          <w:rFonts w:hint="eastAsia" w:ascii="仿宋_GB2312" w:hAnsi="仿宋" w:eastAsia="仿宋_GB2312" w:cs="仿宋"/>
          <w:color w:val="333333"/>
          <w:sz w:val="32"/>
          <w:szCs w:val="32"/>
        </w:rPr>
        <w:t>该</w:t>
      </w:r>
      <w:r>
        <w:rPr>
          <w:rFonts w:ascii="仿宋_GB2312" w:hAnsi="仿宋" w:eastAsia="仿宋_GB2312" w:cs="仿宋"/>
          <w:color w:val="333333"/>
          <w:sz w:val="32"/>
          <w:szCs w:val="32"/>
        </w:rPr>
        <w:t>项目资金进行</w:t>
      </w:r>
      <w:r>
        <w:rPr>
          <w:rFonts w:hint="eastAsia" w:ascii="仿宋_GB2312" w:hAnsi="仿宋" w:eastAsia="仿宋_GB2312" w:cs="仿宋"/>
          <w:color w:val="333333"/>
          <w:sz w:val="32"/>
          <w:szCs w:val="32"/>
        </w:rPr>
        <w:t>跟踪</w:t>
      </w:r>
      <w:r>
        <w:rPr>
          <w:rFonts w:ascii="仿宋_GB2312" w:hAnsi="仿宋" w:eastAsia="仿宋_GB2312" w:cs="仿宋"/>
          <w:color w:val="333333"/>
          <w:sz w:val="32"/>
          <w:szCs w:val="32"/>
        </w:rPr>
        <w:t>、审核、评价，</w:t>
      </w:r>
      <w:r>
        <w:rPr>
          <w:rFonts w:hint="eastAsia" w:ascii="仿宋_GB2312" w:hAnsi="仿宋" w:eastAsia="仿宋_GB2312" w:cs="仿宋"/>
          <w:color w:val="333333"/>
          <w:sz w:val="32"/>
          <w:szCs w:val="32"/>
        </w:rPr>
        <w:t>便于</w:t>
      </w:r>
      <w:r>
        <w:rPr>
          <w:rFonts w:ascii="仿宋_GB2312" w:hAnsi="仿宋" w:eastAsia="仿宋_GB2312" w:cs="仿宋"/>
          <w:color w:val="333333"/>
          <w:sz w:val="32"/>
          <w:szCs w:val="32"/>
        </w:rPr>
        <w:t>顺利完成</w:t>
      </w:r>
      <w:r>
        <w:rPr>
          <w:rFonts w:hint="eastAsia" w:ascii="仿宋_GB2312" w:hAnsi="仿宋" w:eastAsia="仿宋_GB2312" w:cs="仿宋"/>
          <w:color w:val="333333"/>
          <w:sz w:val="32"/>
          <w:szCs w:val="32"/>
        </w:rPr>
        <w:t>该专项</w:t>
      </w:r>
      <w:r>
        <w:rPr>
          <w:rFonts w:ascii="仿宋_GB2312" w:hAnsi="仿宋" w:eastAsia="仿宋_GB2312" w:cs="仿宋"/>
          <w:color w:val="333333"/>
          <w:sz w:val="32"/>
          <w:szCs w:val="32"/>
        </w:rPr>
        <w:t>资金支出</w:t>
      </w:r>
      <w:r>
        <w:rPr>
          <w:rFonts w:hint="eastAsia" w:ascii="仿宋_GB2312" w:hAnsi="仿宋" w:eastAsia="仿宋_GB2312" w:cs="仿宋"/>
          <w:color w:val="333333"/>
          <w:sz w:val="32"/>
          <w:szCs w:val="32"/>
        </w:rPr>
        <w:t>项目</w:t>
      </w:r>
      <w:r>
        <w:rPr>
          <w:rFonts w:ascii="仿宋_GB2312" w:hAnsi="仿宋" w:eastAsia="仿宋_GB2312" w:cs="仿宋"/>
          <w:color w:val="333333"/>
          <w:sz w:val="32"/>
          <w:szCs w:val="32"/>
        </w:rPr>
        <w:t>的年度目标和总体目标。做到</w:t>
      </w:r>
      <w:r>
        <w:rPr>
          <w:rFonts w:hint="eastAsia" w:ascii="仿宋_GB2312" w:hAnsi="仿宋" w:eastAsia="仿宋_GB2312" w:cs="仿宋"/>
          <w:color w:val="333333"/>
          <w:sz w:val="32"/>
          <w:szCs w:val="32"/>
        </w:rPr>
        <w:t>厉行节约，反对浪费，严格控制该项费用开支，努力降低行政成本，提高该</w:t>
      </w:r>
      <w:r>
        <w:rPr>
          <w:rFonts w:ascii="仿宋_GB2312" w:hAnsi="仿宋" w:eastAsia="仿宋_GB2312" w:cs="仿宋"/>
          <w:color w:val="333333"/>
          <w:sz w:val="32"/>
          <w:szCs w:val="32"/>
        </w:rPr>
        <w:t>专项资金</w:t>
      </w:r>
      <w:r>
        <w:rPr>
          <w:rFonts w:hint="eastAsia" w:ascii="仿宋_GB2312" w:hAnsi="仿宋" w:eastAsia="仿宋_GB2312" w:cs="仿宋"/>
          <w:color w:val="333333"/>
          <w:sz w:val="32"/>
          <w:szCs w:val="32"/>
        </w:rPr>
        <w:t>支出</w:t>
      </w:r>
      <w:r>
        <w:rPr>
          <w:rFonts w:ascii="仿宋_GB2312" w:hAnsi="仿宋" w:eastAsia="仿宋_GB2312" w:cs="仿宋"/>
          <w:color w:val="333333"/>
          <w:sz w:val="32"/>
          <w:szCs w:val="32"/>
        </w:rPr>
        <w:t>项目</w:t>
      </w:r>
      <w:r>
        <w:rPr>
          <w:rFonts w:hint="eastAsia" w:ascii="仿宋_GB2312" w:hAnsi="仿宋" w:eastAsia="仿宋_GB2312" w:cs="仿宋"/>
          <w:color w:val="333333"/>
          <w:sz w:val="32"/>
          <w:szCs w:val="32"/>
        </w:rPr>
        <w:t>的使用效率。</w:t>
      </w:r>
    </w:p>
    <w:p>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color w:val="333333"/>
          <w:sz w:val="32"/>
          <w:szCs w:val="32"/>
        </w:rPr>
        <w:t>按照《</w:t>
      </w:r>
      <w:r>
        <w:rPr>
          <w:rFonts w:ascii="仿宋_GB2312" w:hAnsi="仿宋" w:eastAsia="仿宋_GB2312" w:cs="仿宋"/>
          <w:color w:val="333333"/>
          <w:sz w:val="32"/>
          <w:szCs w:val="32"/>
        </w:rPr>
        <w:t>预算法</w:t>
      </w:r>
      <w:r>
        <w:rPr>
          <w:rFonts w:hint="eastAsia" w:ascii="仿宋_GB2312" w:hAnsi="仿宋" w:eastAsia="仿宋_GB2312" w:cs="仿宋"/>
          <w:color w:val="333333"/>
          <w:sz w:val="32"/>
          <w:szCs w:val="32"/>
        </w:rPr>
        <w:t>》</w:t>
      </w:r>
      <w:r>
        <w:rPr>
          <w:rFonts w:ascii="仿宋_GB2312" w:hAnsi="仿宋" w:eastAsia="仿宋_GB2312" w:cs="仿宋"/>
          <w:color w:val="333333"/>
          <w:sz w:val="32"/>
          <w:szCs w:val="32"/>
        </w:rPr>
        <w:t>的</w:t>
      </w:r>
      <w:r>
        <w:rPr>
          <w:rFonts w:hint="eastAsia" w:ascii="仿宋_GB2312" w:hAnsi="仿宋" w:eastAsia="仿宋_GB2312" w:cs="仿宋"/>
          <w:color w:val="333333"/>
          <w:sz w:val="32"/>
          <w:szCs w:val="32"/>
        </w:rPr>
        <w:t>要求</w:t>
      </w:r>
      <w:r>
        <w:rPr>
          <w:rFonts w:ascii="仿宋_GB2312" w:hAnsi="仿宋" w:eastAsia="仿宋_GB2312" w:cs="仿宋"/>
          <w:color w:val="333333"/>
          <w:sz w:val="32"/>
          <w:szCs w:val="32"/>
        </w:rPr>
        <w:t>，建议本</w:t>
      </w:r>
      <w:r>
        <w:rPr>
          <w:rFonts w:hint="eastAsia" w:ascii="仿宋_GB2312" w:hAnsi="仿宋" w:eastAsia="仿宋_GB2312" w:cs="仿宋"/>
          <w:color w:val="333333"/>
          <w:sz w:val="32"/>
          <w:szCs w:val="32"/>
        </w:rPr>
        <w:t>级</w:t>
      </w:r>
      <w:r>
        <w:rPr>
          <w:rFonts w:ascii="仿宋_GB2312" w:hAnsi="仿宋" w:eastAsia="仿宋_GB2312" w:cs="仿宋"/>
          <w:color w:val="333333"/>
          <w:sz w:val="32"/>
          <w:szCs w:val="32"/>
        </w:rPr>
        <w:t>财政部门应根据各部门实际需要的各个项目的资金量，相应加大预算资金投入，便于各单位开展各项正常工作。</w:t>
      </w:r>
    </w:p>
    <w:p>
      <w:pPr>
        <w:tabs>
          <w:tab w:val="left" w:pos="621"/>
        </w:tabs>
        <w:rPr>
          <w:rFonts w:ascii="Times New Roman" w:hAnsi="Times New Roman" w:eastAsia="仿宋_GB2312" w:cs="Times New Roman"/>
          <w:sz w:val="32"/>
          <w:szCs w:val="32"/>
        </w:rPr>
      </w:pPr>
      <w:r>
        <w:rPr>
          <w:rFonts w:ascii="Times New Roman" w:hAnsi="Times New Roman" w:eastAsia="仿宋_GB2312" w:cs="Times New Roman"/>
          <w:sz w:val="32"/>
          <w:szCs w:val="32"/>
        </w:rPr>
        <w:tab/>
      </w:r>
    </w:p>
    <w:sectPr>
      <w:footerReference r:id="rId4" w:type="default"/>
      <w:pgSz w:w="11906" w:h="16838"/>
      <w:pgMar w:top="2098" w:right="1588" w:bottom="1701" w:left="1588" w:header="1134" w:footer="1134" w:gutter="0"/>
      <w:cols w:space="425" w:num="1"/>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Calibri">
    <w:panose1 w:val="020F0502020204030204"/>
    <w:charset w:val="00"/>
    <w:family w:val="auto"/>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2"/>
      <w:jc w:val="center"/>
      <w:rPr>
        <w:rFonts w:cs="Times New Roman"/>
      </w:rPr>
    </w:pPr>
    <w:r>
      <w:fldChar w:fldCharType="begin"/>
    </w:r>
    <w:r>
      <w:instrText xml:space="preserve"> PAGE   \* MERGEFORMAT </w:instrText>
    </w:r>
    <w:r>
      <w:fldChar w:fldCharType="separate"/>
    </w:r>
    <w:r>
      <w:rPr>
        <w:lang w:val="zh-CN"/>
      </w:rPr>
      <w:t>2</w:t>
    </w:r>
    <w:r>
      <w:rPr>
        <w:lang w:val="zh-CN"/>
      </w:rPr>
      <w:fldChar w:fldCharType="end"/>
    </w:r>
  </w:p>
  <w:p>
    <w:pPr>
      <w:pStyle w:val="2"/>
      <w:rPr>
        <w:rFonts w:cs="Times New Roman"/>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Calibri"/>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ocked="1"/>
    <w:lsdException w:uiPriority="0" w:name="index 2" w:locked="1"/>
    <w:lsdException w:uiPriority="0" w:name="index 3" w:locked="1"/>
    <w:lsdException w:uiPriority="0" w:name="index 4" w:locked="1"/>
    <w:lsdException w:uiPriority="0" w:name="index 5" w:locked="1"/>
    <w:lsdException w:uiPriority="0" w:name="index 6" w:locked="1"/>
    <w:lsdException w:uiPriority="0" w:name="index 7" w:locked="1"/>
    <w:lsdException w:uiPriority="0" w:name="index 8" w:locked="1"/>
    <w:lsdException w:uiPriority="0"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ocked="1"/>
    <w:lsdException w:uiPriority="0" w:name="footnote text" w:locked="1"/>
    <w:lsdException w:uiPriority="0" w:name="annotation text" w:locked="1"/>
    <w:lsdException w:unhideWhenUsed="0" w:uiPriority="99" w:semiHidden="0" w:name="header"/>
    <w:lsdException w:unhideWhenUsed="0" w:uiPriority="99" w:semiHidden="0" w:name="footer"/>
    <w:lsdException w:uiPriority="0" w:name="index heading" w:locked="1"/>
    <w:lsdException w:qFormat="1" w:uiPriority="35" w:name="caption" w:locked="1"/>
    <w:lsdException w:uiPriority="0" w:name="table of figures" w:locked="1"/>
    <w:lsdException w:uiPriority="0" w:name="envelope address" w:locked="1"/>
    <w:lsdException w:uiPriority="0" w:name="envelope return" w:locked="1"/>
    <w:lsdException w:uiPriority="0" w:name="footnote reference" w:locked="1"/>
    <w:lsdException w:uiPriority="0" w:name="annotation reference" w:locked="1"/>
    <w:lsdException w:uiPriority="0" w:name="line number" w:locked="1"/>
    <w:lsdException w:uiPriority="0" w:name="page number" w:locked="1"/>
    <w:lsdException w:uiPriority="0" w:name="endnote reference" w:locked="1"/>
    <w:lsdException w:uiPriority="0" w:name="endnote text" w:locked="1"/>
    <w:lsdException w:uiPriority="0" w:name="table of authorities" w:locked="1"/>
    <w:lsdException w:uiPriority="0" w:name="macro" w:locked="1"/>
    <w:lsdException w:uiPriority="0" w:name="toa heading" w:locked="1"/>
    <w:lsdException w:uiPriority="0" w:name="List" w:locked="1"/>
    <w:lsdException w:uiPriority="0" w:name="List Bullet" w:locked="1"/>
    <w:lsdException w:uiPriority="0" w:name="List Number" w:locked="1"/>
    <w:lsdException w:uiPriority="0" w:name="List 2" w:locked="1"/>
    <w:lsdException w:uiPriority="0" w:name="List 3" w:locked="1"/>
    <w:lsdException w:uiPriority="0" w:name="List 4" w:locked="1"/>
    <w:lsdException w:uiPriority="0" w:name="List 5" w:locked="1"/>
    <w:lsdException w:uiPriority="0" w:name="List Bullet 2" w:locked="1"/>
    <w:lsdException w:uiPriority="0" w:name="List Bullet 3" w:locked="1"/>
    <w:lsdException w:uiPriority="0" w:name="List Bullet 4" w:locked="1"/>
    <w:lsdException w:uiPriority="0" w:name="List Bullet 5" w:locked="1"/>
    <w:lsdException w:uiPriority="0" w:name="List Number 2" w:locked="1"/>
    <w:lsdException w:uiPriority="0" w:name="List Number 3" w:locked="1"/>
    <w:lsdException w:uiPriority="0" w:name="List Number 4" w:locked="1"/>
    <w:lsdException w:uiPriority="0" w:name="List Number 5" w:locked="1"/>
    <w:lsdException w:qFormat="1" w:unhideWhenUsed="0" w:uiPriority="10" w:semiHidden="0" w:name="Title" w:locked="1"/>
    <w:lsdException w:uiPriority="0" w:name="Closing" w:locked="1"/>
    <w:lsdException w:uiPriority="0" w:name="Signature" w:locked="1"/>
    <w:lsdException w:uiPriority="1" w:name="Default Paragraph Font"/>
    <w:lsdException w:uiPriority="0" w:name="Body Text" w:locked="1"/>
    <w:lsdException w:uiPriority="0" w:name="Body Text Indent" w:locked="1"/>
    <w:lsdException w:uiPriority="0" w:name="List Continue" w:locked="1"/>
    <w:lsdException w:uiPriority="0" w:name="List Continue 2" w:locked="1"/>
    <w:lsdException w:uiPriority="0" w:name="List Continue 3" w:locked="1"/>
    <w:lsdException w:uiPriority="0" w:name="List Continue 4" w:locked="1"/>
    <w:lsdException w:uiPriority="0" w:name="List Continue 5" w:locked="1"/>
    <w:lsdException w:uiPriority="0" w:name="Message Header" w:locked="1"/>
    <w:lsdException w:qFormat="1" w:unhideWhenUsed="0" w:uiPriority="11" w:semiHidden="0" w:name="Subtitle" w:locked="1"/>
    <w:lsdException w:uiPriority="0" w:name="Salutation" w:locked="1"/>
    <w:lsdException w:uiPriority="0" w:name="Date" w:locked="1"/>
    <w:lsdException w:uiPriority="0" w:name="Body Text First Indent" w:locked="1"/>
    <w:lsdException w:uiPriority="0" w:name="Body Text First Indent 2" w:locked="1"/>
    <w:lsdException w:uiPriority="0" w:name="Note Heading" w:locked="1"/>
    <w:lsdException w:uiPriority="0" w:name="Body Text 2" w:locked="1"/>
    <w:lsdException w:uiPriority="0" w:name="Body Text 3" w:locked="1"/>
    <w:lsdException w:uiPriority="0" w:name="Body Text Indent 2" w:locked="1"/>
    <w:lsdException w:uiPriority="0" w:name="Body Text Indent 3" w:locked="1"/>
    <w:lsdException w:uiPriority="0" w:name="Block Text" w:locked="1"/>
    <w:lsdException w:uiPriority="0" w:name="Hyperlink" w:locked="1"/>
    <w:lsdException w:uiPriority="0" w:name="FollowedHyperlink" w:locked="1"/>
    <w:lsdException w:qFormat="1" w:unhideWhenUsed="0" w:uiPriority="22" w:semiHidden="0" w:name="Strong" w:locked="1"/>
    <w:lsdException w:qFormat="1" w:unhideWhenUsed="0" w:uiPriority="20" w:semiHidden="0" w:name="Emphasis" w:locked="1"/>
    <w:lsdException w:uiPriority="0" w:name="Document Map" w:locked="1"/>
    <w:lsdException w:uiPriority="0" w:name="Plain Text" w:locked="1"/>
    <w:lsdException w:uiPriority="0" w:name="E-mail Signature" w:locked="1"/>
    <w:lsdException w:uiPriority="0" w:name="Normal (Web)" w:locked="1"/>
    <w:lsdException w:uiPriority="0" w:name="HTML Acronym" w:locked="1"/>
    <w:lsdException w:uiPriority="0" w:name="HTML Address" w:locked="1"/>
    <w:lsdException w:uiPriority="0" w:name="HTML Cite" w:locked="1"/>
    <w:lsdException w:uiPriority="0" w:name="HTML Code" w:locked="1"/>
    <w:lsdException w:uiPriority="0" w:name="HTML Definition" w:locked="1"/>
    <w:lsdException w:uiPriority="0" w:name="HTML Keyboard" w:locked="1"/>
    <w:lsdException w:uiPriority="0" w:name="HTML Preformatted" w:locked="1"/>
    <w:lsdException w:uiPriority="0" w:name="HTML Sample" w:locked="1"/>
    <w:lsdException w:uiPriority="0" w:name="HTML Typewriter" w:locked="1"/>
    <w:lsdException w:uiPriority="0" w:name="HTML Variable" w:locked="1"/>
    <w:lsdException w:uiPriority="0" w:name="annotation subject" w:locked="1"/>
    <w:lsdException w:uiPriority="0" w:name="Balloon Text" w:locked="1"/>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4">
    <w:name w:val="Default Paragraph Font"/>
    <w:semiHidden/>
    <w:unhideWhenUsed/>
    <w:uiPriority w:val="1"/>
  </w:style>
  <w:style w:type="paragraph" w:styleId="2">
    <w:name w:val="footer"/>
    <w:basedOn w:val="1"/>
    <w:link w:val="7"/>
    <w:uiPriority w:val="99"/>
    <w:pPr>
      <w:tabs>
        <w:tab w:val="center" w:pos="4153"/>
        <w:tab w:val="right" w:pos="8306"/>
      </w:tabs>
      <w:snapToGrid w:val="0"/>
      <w:jc w:val="left"/>
    </w:pPr>
    <w:rPr>
      <w:sz w:val="18"/>
      <w:szCs w:val="18"/>
    </w:rPr>
  </w:style>
  <w:style w:type="paragraph" w:styleId="3">
    <w:name w:val="header"/>
    <w:basedOn w:val="1"/>
    <w:link w:val="6"/>
    <w:uiPriority w:val="99"/>
    <w:pPr>
      <w:pBdr>
        <w:bottom w:val="single" w:color="auto" w:sz="6" w:space="1"/>
      </w:pBdr>
      <w:tabs>
        <w:tab w:val="center" w:pos="4153"/>
        <w:tab w:val="right" w:pos="8306"/>
      </w:tabs>
      <w:snapToGrid w:val="0"/>
      <w:jc w:val="center"/>
    </w:pPr>
    <w:rPr>
      <w:sz w:val="18"/>
      <w:szCs w:val="18"/>
    </w:rPr>
  </w:style>
  <w:style w:type="paragraph" w:customStyle="1" w:styleId="5">
    <w:name w:val="List Paragraph"/>
    <w:basedOn w:val="1"/>
    <w:qFormat/>
    <w:uiPriority w:val="99"/>
    <w:pPr>
      <w:ind w:firstLine="420" w:firstLineChars="200"/>
    </w:pPr>
  </w:style>
  <w:style w:type="character" w:customStyle="1" w:styleId="6">
    <w:name w:val="页眉 Char Char"/>
    <w:link w:val="3"/>
    <w:uiPriority w:val="99"/>
    <w:rPr>
      <w:rFonts w:cs="Times New Roman"/>
      <w:kern w:val="2"/>
      <w:sz w:val="18"/>
      <w:szCs w:val="18"/>
    </w:rPr>
  </w:style>
  <w:style w:type="character" w:customStyle="1" w:styleId="7">
    <w:name w:val="页脚 Char Char"/>
    <w:link w:val="2"/>
    <w:uiPriority w:val="99"/>
    <w:rPr>
      <w:rFonts w:cs="Times New Roman"/>
      <w:kern w:val="2"/>
      <w:sz w:val="18"/>
      <w:szCs w:val="18"/>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footer" Target="footer1.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9</Pages>
  <Words>560</Words>
  <Characters>3194</Characters>
  <Lines>26</Lines>
  <Paragraphs>7</Paragraphs>
  <TotalTime>0</TotalTime>
  <ScaleCrop>false</ScaleCrop>
  <LinksUpToDate>false</LinksUpToDate>
  <CharactersWithSpaces>0</CharactersWithSpaces>
  <Application>WPS Office 专业版_9.1.0.4337_{F1E327BC-269C-435d-A152-05C5408002CA}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2018-03-09T00:38:00Z</dcterms:created>
  <dc:creator>Administrator</dc:creator>
  <cp:lastModifiedBy>zhang</cp:lastModifiedBy>
  <cp:lastPrinted>2018-03-12T01:15:00Z</cp:lastPrinted>
  <dcterms:modified xsi:type="dcterms:W3CDTF">2022-02-10T07:40:24Z</dcterms:modified>
  <dc:title>参考提纲</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2052-9.1.0.4337</vt:lpwstr>
  </property>
</Properties>
</file>