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方正小标宋简体" w:hAnsi="仿宋" w:eastAsia="方正小标宋简体"/>
          <w:sz w:val="44"/>
          <w:szCs w:val="44"/>
        </w:rPr>
      </w:pPr>
      <w:r>
        <w:rPr>
          <w:rFonts w:hint="eastAsia" w:ascii="方正小标宋简体" w:hAnsi="仿宋" w:eastAsia="方正小标宋简体"/>
          <w:sz w:val="44"/>
          <w:szCs w:val="44"/>
        </w:rPr>
        <w:t>2017年度新罗区委机构编制委员会办公室决算说明</w:t>
      </w:r>
    </w:p>
    <w:p>
      <w:pPr>
        <w:spacing w:line="240" w:lineRule="exact"/>
        <w:ind w:firstLine="640" w:firstLineChars="200"/>
        <w:rPr>
          <w:rFonts w:ascii="仿宋" w:hAnsi="仿宋" w:eastAsia="仿宋"/>
          <w:sz w:val="32"/>
          <w:szCs w:val="32"/>
        </w:rPr>
      </w:pP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按照《龙岩市新罗区财政局关于批复中共龙岩市新罗区委机构编制委员会办公室2017年度部门决算的通知》</w:t>
      </w:r>
      <w:r>
        <w:rPr>
          <w:rFonts w:hint="eastAsia" w:ascii="仿宋_GB2312" w:hAnsi="仿宋" w:eastAsia="仿宋_GB2312" w:cs="仿宋_GB2312"/>
          <w:sz w:val="32"/>
          <w:szCs w:val="32"/>
        </w:rPr>
        <w:t>（新财事决批[2018]011号）</w:t>
      </w:r>
      <w:r>
        <w:rPr>
          <w:rFonts w:hint="eastAsia" w:ascii="仿宋_GB2312" w:hAnsi="仿宋" w:eastAsia="仿宋_GB2312"/>
          <w:sz w:val="32"/>
          <w:szCs w:val="32"/>
        </w:rPr>
        <w:t>的要求，现将我单位2017年度部门决算说明如下:</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一、编办主要职责：</w:t>
      </w:r>
    </w:p>
    <w:p>
      <w:pPr>
        <w:tabs>
          <w:tab w:val="left" w:pos="-315"/>
        </w:tabs>
        <w:spacing w:line="520" w:lineRule="exact"/>
        <w:ind w:firstLine="640" w:firstLineChars="200"/>
        <w:rPr>
          <w:rFonts w:ascii="仿宋_GB2312" w:hAnsi="Calibri" w:eastAsia="仿宋_GB2312" w:cs="Times New Roman"/>
          <w:sz w:val="32"/>
          <w:szCs w:val="32"/>
        </w:rPr>
      </w:pPr>
      <w:r>
        <w:rPr>
          <w:rFonts w:hint="eastAsia" w:ascii="仿宋_GB2312" w:eastAsia="仿宋_GB2312"/>
          <w:sz w:val="32"/>
          <w:szCs w:val="32"/>
        </w:rPr>
        <w:t>1.</w:t>
      </w:r>
      <w:r>
        <w:rPr>
          <w:rFonts w:hint="eastAsia" w:ascii="仿宋_GB2312" w:hAnsi="Calibri" w:eastAsia="仿宋_GB2312" w:cs="Times New Roman"/>
          <w:sz w:val="32"/>
          <w:szCs w:val="32"/>
        </w:rPr>
        <w:t>贯彻执行党中央、国务院和上级党委、政府有关行政管理体制、机构改革、行政审批制度改革以及机构编制管理的方针、政策、法规、规定和上级机构编制部门及区委、区政府、区委编委的指示、决定。研究制订全区机关、事业单位管理体制与机构改革的总体方案及其配套的有关政策、规定，以及机构编制管理的规定、办法。统一管理全区各级党政群机关、人大、政协机关、人民团体等和事业单位的机构编制工作。</w:t>
      </w:r>
    </w:p>
    <w:p>
      <w:pPr>
        <w:spacing w:line="52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2、研究、草拟全区行政管理、机构改革和机构管理的相关文件，组织指导、审核区级、镇机关和事业单位的机构改革工作，协调区级机关、事业单位和区、镇（街）级机关事业的职能配置、调整和职责分工。承担区机构改革领导小组办公室的日常事务工作。</w:t>
      </w:r>
    </w:p>
    <w:p>
      <w:pPr>
        <w:spacing w:line="52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3、研究、草拟并组织实施全区事业单位的改革方案和配套政策，做好全区事业单位机构设置、编制和人员结构管理工作。</w:t>
      </w:r>
    </w:p>
    <w:p>
      <w:pPr>
        <w:spacing w:line="52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4、负责全区机关、事业单位的机构、人员编制、领导职数以及内设机构、领导职数、人员编制变动的审核工作。</w:t>
      </w:r>
    </w:p>
    <w:p>
      <w:pPr>
        <w:spacing w:line="52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5、监督检查全区机构改革方案和机构编制政策的执行情况，按照中央文件精神严格控制机构编制总量、只减不增，对违反编制法规行为的，予以纠正或提出意见报告区委、区政府和区委编委。</w:t>
      </w:r>
    </w:p>
    <w:p>
      <w:pPr>
        <w:spacing w:line="52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6、研究、草拟全区行政审批制度改革的相关文件，组织、指导和监督检查全区简政放权和“放管服”工作，做好上级取消和下放行政审批事项、公共服务事项的承接和取消、下放镇（街）工作，指导、组织全区清理、规范中介服务等相关工作，组织实施区、镇（街）两级各部门、单位的权</w:t>
      </w:r>
      <w:r>
        <w:rPr>
          <w:rFonts w:hint="eastAsia" w:ascii="仿宋_GB2312" w:eastAsia="仿宋_GB2312" w:cs="Times New Roman"/>
          <w:sz w:val="32"/>
          <w:szCs w:val="32"/>
          <w:lang w:eastAsia="zh-CN"/>
        </w:rPr>
        <w:t>力</w:t>
      </w:r>
      <w:r>
        <w:rPr>
          <w:rFonts w:hint="eastAsia" w:ascii="仿宋_GB2312" w:hAnsi="Calibri" w:eastAsia="仿宋_GB2312" w:cs="Times New Roman"/>
          <w:sz w:val="32"/>
          <w:szCs w:val="32"/>
        </w:rPr>
        <w:t>清单、责任清单</w:t>
      </w:r>
      <w:bookmarkStart w:id="0" w:name="_GoBack"/>
      <w:bookmarkEnd w:id="0"/>
      <w:r>
        <w:rPr>
          <w:rFonts w:hint="eastAsia" w:ascii="仿宋_GB2312" w:hAnsi="Calibri" w:eastAsia="仿宋_GB2312" w:cs="Times New Roman"/>
          <w:sz w:val="32"/>
          <w:szCs w:val="32"/>
        </w:rPr>
        <w:t>制度和公共服务事项的清理公布工作。承担区行政审批制度改革工作领导小组办公室的日常事务工作。</w:t>
      </w:r>
    </w:p>
    <w:p>
      <w:pPr>
        <w:spacing w:line="52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7、负责下属事业单位区事业单位登记管理局和区中文域名注册管理中心的管理工作。</w:t>
      </w:r>
    </w:p>
    <w:p>
      <w:pPr>
        <w:spacing w:line="52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8、承担区委、区政府、区委编委和上级机构管理部门交办的其他工作任务。</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二、部门决算单位基本情况</w:t>
      </w:r>
    </w:p>
    <w:p>
      <w:pPr>
        <w:tabs>
          <w:tab w:val="left" w:pos="7513"/>
        </w:tabs>
        <w:adjustRightInd w:val="0"/>
        <w:snapToGrid w:val="0"/>
        <w:spacing w:line="520" w:lineRule="exact"/>
        <w:ind w:firstLine="640" w:firstLineChars="200"/>
        <w:rPr>
          <w:rFonts w:ascii="仿宋_GB2312" w:hAnsi="仿宋" w:eastAsia="仿宋_GB2312"/>
          <w:sz w:val="32"/>
          <w:szCs w:val="32"/>
        </w:rPr>
      </w:pPr>
      <w:r>
        <w:rPr>
          <w:rFonts w:hint="eastAsia" w:ascii="仿宋_GB2312" w:hAnsi="Calibri" w:eastAsia="仿宋_GB2312" w:cs="Times New Roman"/>
          <w:sz w:val="32"/>
          <w:szCs w:val="32"/>
        </w:rPr>
        <w:t>中共龙岩市新罗区委机构编制委员会办公室编制数5名，实有数4人（17年5月份退休1人）；龙岩市新罗区事业单位登记管理局编制数6名，实有数5人。龙岩市新罗区中文域名注册管理中心编制数3名，实有数1人。</w:t>
      </w:r>
      <w:r>
        <w:rPr>
          <w:rFonts w:hint="eastAsia" w:ascii="仿宋_GB2312" w:hAnsi="仿宋" w:eastAsia="仿宋_GB2312"/>
          <w:sz w:val="32"/>
          <w:szCs w:val="32"/>
        </w:rPr>
        <w:t>其中：列入</w:t>
      </w:r>
      <w:r>
        <w:rPr>
          <w:rFonts w:hint="eastAsia" w:ascii="仿宋_GB2312" w:hAnsi="仿宋" w:eastAsia="仿宋_GB2312" w:cs="仿宋_GB2312"/>
          <w:sz w:val="32"/>
          <w:szCs w:val="32"/>
        </w:rPr>
        <w:t>2017</w:t>
      </w:r>
      <w:r>
        <w:rPr>
          <w:rFonts w:hint="eastAsia" w:ascii="仿宋_GB2312" w:hAnsi="仿宋" w:eastAsia="仿宋_GB2312"/>
          <w:sz w:val="32"/>
          <w:szCs w:val="32"/>
        </w:rPr>
        <w:t>年部门决算编制范围的单位详细情况见下表:</w:t>
      </w:r>
    </w:p>
    <w:tbl>
      <w:tblPr>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130"/>
        <w:gridCol w:w="2130"/>
        <w:gridCol w:w="2131"/>
        <w:gridCol w:w="2131"/>
      </w:tblGrid>
      <w:tr>
        <w:trPr>
          <w:trHeight w:val="664"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cs="仿宋_GB2312"/>
                <w:sz w:val="32"/>
                <w:szCs w:val="32"/>
              </w:rPr>
            </w:pPr>
            <w:r>
              <w:rPr>
                <w:rFonts w:hint="eastAsia" w:ascii="仿宋_GB2312" w:hAnsi="仿宋" w:eastAsia="仿宋_GB2312" w:cs="仿宋_GB2312"/>
                <w:sz w:val="32"/>
                <w:szCs w:val="32"/>
              </w:rPr>
              <w:t>单位名称</w:t>
            </w:r>
          </w:p>
        </w:tc>
        <w:tc>
          <w:tcPr>
            <w:tcW w:w="2130"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cs="仿宋_GB2312"/>
                <w:sz w:val="32"/>
                <w:szCs w:val="32"/>
              </w:rPr>
            </w:pPr>
            <w:r>
              <w:rPr>
                <w:rFonts w:hint="eastAsia" w:ascii="仿宋_GB2312" w:hAnsi="仿宋" w:eastAsia="仿宋_GB2312" w:cs="仿宋_GB2312"/>
                <w:sz w:val="32"/>
                <w:szCs w:val="32"/>
              </w:rPr>
              <w:t>经费性质</w:t>
            </w:r>
          </w:p>
        </w:tc>
        <w:tc>
          <w:tcPr>
            <w:tcW w:w="2131"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cs="仿宋_GB2312"/>
                <w:sz w:val="32"/>
                <w:szCs w:val="32"/>
              </w:rPr>
            </w:pPr>
            <w:r>
              <w:rPr>
                <w:rFonts w:hint="eastAsia" w:ascii="仿宋_GB2312" w:hAnsi="仿宋" w:eastAsia="仿宋_GB2312" w:cs="仿宋_GB2312"/>
                <w:sz w:val="32"/>
                <w:szCs w:val="32"/>
              </w:rPr>
              <w:t>人员编制数</w:t>
            </w:r>
          </w:p>
        </w:tc>
        <w:tc>
          <w:tcPr>
            <w:tcW w:w="2131"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cs="仿宋_GB2312"/>
                <w:sz w:val="32"/>
                <w:szCs w:val="32"/>
              </w:rPr>
            </w:pPr>
            <w:r>
              <w:rPr>
                <w:rFonts w:hint="eastAsia" w:ascii="仿宋_GB2312" w:hAnsi="仿宋" w:eastAsia="仿宋_GB2312" w:cs="仿宋_GB2312"/>
                <w:sz w:val="32"/>
                <w:szCs w:val="32"/>
              </w:rPr>
              <w:t>在职人数</w:t>
            </w:r>
          </w:p>
        </w:tc>
      </w:tr>
      <w:tr>
        <w:trPr>
          <w:jc w:val="center"/>
        </w:trPr>
        <w:tc>
          <w:tcPr>
            <w:tcW w:w="2130"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eastAsia="仿宋_GB2312"/>
                <w:sz w:val="32"/>
                <w:szCs w:val="32"/>
              </w:rPr>
            </w:pPr>
            <w:r>
              <w:rPr>
                <w:rFonts w:hint="eastAsia" w:ascii="仿宋_GB2312" w:eastAsia="仿宋_GB2312"/>
                <w:sz w:val="32"/>
                <w:szCs w:val="32"/>
              </w:rPr>
              <w:t>中共龙岩市新罗区委机构编制委员会办公室</w:t>
            </w:r>
          </w:p>
          <w:p>
            <w:pPr>
              <w:tabs>
                <w:tab w:val="left" w:pos="7513"/>
              </w:tabs>
              <w:adjustRightInd w:val="0"/>
              <w:snapToGrid w:val="0"/>
              <w:spacing w:line="520" w:lineRule="exact"/>
              <w:rPr>
                <w:rFonts w:ascii="仿宋_GB2312" w:hAnsi="黑体" w:eastAsia="仿宋_GB2312"/>
                <w:sz w:val="32"/>
                <w:szCs w:val="32"/>
              </w:rPr>
            </w:pPr>
          </w:p>
        </w:tc>
        <w:tc>
          <w:tcPr>
            <w:tcW w:w="2130"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hAnsi="黑体" w:eastAsia="仿宋_GB2312"/>
                <w:sz w:val="32"/>
                <w:szCs w:val="32"/>
              </w:rPr>
            </w:pPr>
            <w:r>
              <w:rPr>
                <w:rFonts w:hint="eastAsia" w:ascii="仿宋_GB2312" w:hAnsi="黑体" w:eastAsia="仿宋_GB2312"/>
                <w:sz w:val="32"/>
                <w:szCs w:val="32"/>
              </w:rPr>
              <w:t>财政全额拨款</w:t>
            </w:r>
          </w:p>
        </w:tc>
        <w:tc>
          <w:tcPr>
            <w:tcW w:w="2131"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hAnsi="黑体" w:eastAsia="仿宋_GB2312"/>
                <w:sz w:val="32"/>
                <w:szCs w:val="32"/>
              </w:rPr>
            </w:pPr>
            <w:r>
              <w:rPr>
                <w:rFonts w:hint="eastAsia" w:ascii="仿宋_GB2312" w:hAnsi="黑体" w:eastAsia="仿宋_GB2312"/>
                <w:sz w:val="32"/>
                <w:szCs w:val="32"/>
              </w:rPr>
              <w:t>5</w:t>
            </w:r>
          </w:p>
        </w:tc>
        <w:tc>
          <w:tcPr>
            <w:tcW w:w="2131"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hAnsi="黑体" w:eastAsia="仿宋_GB2312"/>
                <w:sz w:val="32"/>
                <w:szCs w:val="32"/>
              </w:rPr>
            </w:pPr>
            <w:r>
              <w:rPr>
                <w:rFonts w:hint="eastAsia" w:ascii="仿宋_GB2312" w:hAnsi="黑体" w:eastAsia="仿宋_GB2312"/>
                <w:sz w:val="32"/>
                <w:szCs w:val="32"/>
              </w:rPr>
              <w:t>3</w:t>
            </w:r>
          </w:p>
        </w:tc>
      </w:tr>
      <w:tr>
        <w:trPr>
          <w:jc w:val="center"/>
        </w:trPr>
        <w:tc>
          <w:tcPr>
            <w:tcW w:w="2130"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hAnsi="黑体" w:eastAsia="仿宋_GB2312"/>
                <w:sz w:val="32"/>
                <w:szCs w:val="32"/>
              </w:rPr>
            </w:pPr>
            <w:r>
              <w:rPr>
                <w:rFonts w:hint="eastAsia" w:ascii="仿宋_GB2312" w:eastAsia="仿宋_GB2312"/>
                <w:sz w:val="32"/>
                <w:szCs w:val="32"/>
              </w:rPr>
              <w:t>龙岩市新罗区事业单位登记管理局</w:t>
            </w:r>
          </w:p>
        </w:tc>
        <w:tc>
          <w:tcPr>
            <w:tcW w:w="2130"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hAnsi="黑体" w:eastAsia="仿宋_GB2312"/>
                <w:sz w:val="32"/>
                <w:szCs w:val="32"/>
              </w:rPr>
            </w:pPr>
            <w:r>
              <w:rPr>
                <w:rFonts w:hint="eastAsia" w:ascii="仿宋_GB2312" w:hAnsi="黑体" w:eastAsia="仿宋_GB2312"/>
                <w:sz w:val="32"/>
                <w:szCs w:val="32"/>
              </w:rPr>
              <w:t>财政全额拨款</w:t>
            </w:r>
          </w:p>
        </w:tc>
        <w:tc>
          <w:tcPr>
            <w:tcW w:w="2131"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hAnsi="黑体" w:eastAsia="仿宋_GB2312"/>
                <w:sz w:val="32"/>
                <w:szCs w:val="32"/>
              </w:rPr>
            </w:pPr>
            <w:r>
              <w:rPr>
                <w:rFonts w:hint="eastAsia" w:ascii="仿宋_GB2312" w:hAnsi="黑体" w:eastAsia="仿宋_GB2312"/>
                <w:sz w:val="32"/>
                <w:szCs w:val="32"/>
              </w:rPr>
              <w:t>6</w:t>
            </w:r>
          </w:p>
        </w:tc>
        <w:tc>
          <w:tcPr>
            <w:tcW w:w="2131"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hAnsi="黑体" w:eastAsia="仿宋_GB2312"/>
                <w:sz w:val="32"/>
                <w:szCs w:val="32"/>
              </w:rPr>
            </w:pPr>
            <w:r>
              <w:rPr>
                <w:rFonts w:hint="eastAsia" w:ascii="仿宋_GB2312" w:hAnsi="黑体" w:eastAsia="仿宋_GB2312"/>
                <w:sz w:val="32"/>
                <w:szCs w:val="32"/>
              </w:rPr>
              <w:t>5</w:t>
            </w:r>
          </w:p>
        </w:tc>
      </w:tr>
      <w:tr>
        <w:trPr>
          <w:jc w:val="center"/>
        </w:trPr>
        <w:tc>
          <w:tcPr>
            <w:tcW w:w="2130"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hAnsi="Calibri" w:eastAsia="仿宋_GB2312"/>
                <w:sz w:val="32"/>
                <w:szCs w:val="32"/>
              </w:rPr>
            </w:pPr>
            <w:r>
              <w:rPr>
                <w:rFonts w:hint="eastAsia" w:ascii="仿宋_GB2312" w:eastAsia="仿宋_GB2312"/>
                <w:sz w:val="32"/>
                <w:szCs w:val="32"/>
              </w:rPr>
              <w:t>龙岩市新罗区中文域名注册管理中心</w:t>
            </w:r>
          </w:p>
        </w:tc>
        <w:tc>
          <w:tcPr>
            <w:tcW w:w="2130"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hAnsi="黑体" w:eastAsia="仿宋_GB2312"/>
                <w:sz w:val="32"/>
                <w:szCs w:val="32"/>
              </w:rPr>
            </w:pPr>
            <w:r>
              <w:rPr>
                <w:rFonts w:hint="eastAsia" w:ascii="仿宋_GB2312" w:hAnsi="黑体" w:eastAsia="仿宋_GB2312"/>
                <w:sz w:val="32"/>
                <w:szCs w:val="32"/>
              </w:rPr>
              <w:t>财政全额拨款</w:t>
            </w:r>
          </w:p>
        </w:tc>
        <w:tc>
          <w:tcPr>
            <w:tcW w:w="2131"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hAnsi="黑体" w:eastAsia="仿宋_GB2312"/>
                <w:sz w:val="32"/>
                <w:szCs w:val="32"/>
              </w:rPr>
            </w:pPr>
            <w:r>
              <w:rPr>
                <w:rFonts w:hint="eastAsia" w:ascii="仿宋_GB2312" w:hAnsi="黑体" w:eastAsia="仿宋_GB2312"/>
                <w:sz w:val="32"/>
                <w:szCs w:val="32"/>
              </w:rPr>
              <w:t>3</w:t>
            </w:r>
          </w:p>
        </w:tc>
        <w:tc>
          <w:tcPr>
            <w:tcW w:w="2131" w:type="dxa"/>
            <w:tcBorders>
              <w:top w:val="single" w:color="auto" w:sz="4" w:space="0"/>
              <w:left w:val="single" w:color="auto" w:sz="4" w:space="0"/>
              <w:bottom w:val="single" w:color="auto" w:sz="4" w:space="0"/>
              <w:right w:val="single" w:color="auto" w:sz="4" w:space="0"/>
            </w:tcBorders>
            <w:vAlign w:val="top"/>
          </w:tcPr>
          <w:p>
            <w:pPr>
              <w:tabs>
                <w:tab w:val="left" w:pos="7513"/>
              </w:tabs>
              <w:adjustRightInd w:val="0"/>
              <w:snapToGrid w:val="0"/>
              <w:spacing w:line="520" w:lineRule="exact"/>
              <w:rPr>
                <w:rFonts w:ascii="仿宋_GB2312" w:hAnsi="黑体" w:eastAsia="仿宋_GB2312"/>
                <w:sz w:val="32"/>
                <w:szCs w:val="32"/>
              </w:rPr>
            </w:pPr>
            <w:r>
              <w:rPr>
                <w:rFonts w:hint="eastAsia" w:ascii="仿宋_GB2312" w:hAnsi="黑体" w:eastAsia="仿宋_GB2312"/>
                <w:sz w:val="32"/>
                <w:szCs w:val="32"/>
              </w:rPr>
              <w:t>1</w:t>
            </w:r>
          </w:p>
        </w:tc>
      </w:tr>
    </w:tbl>
    <w:p>
      <w:pPr>
        <w:spacing w:line="520" w:lineRule="exact"/>
        <w:ind w:firstLine="640" w:firstLineChars="200"/>
        <w:rPr>
          <w:rFonts w:ascii="仿宋_GB2312" w:hAnsi="仿宋" w:eastAsia="仿宋_GB2312"/>
          <w:sz w:val="32"/>
          <w:szCs w:val="32"/>
        </w:rPr>
      </w:pPr>
    </w:p>
    <w:p>
      <w:pPr>
        <w:spacing w:line="520" w:lineRule="exact"/>
        <w:ind w:firstLine="640" w:firstLineChars="200"/>
        <w:rPr>
          <w:rFonts w:ascii="黑体" w:hAnsi="黑体" w:eastAsia="黑体"/>
          <w:sz w:val="32"/>
          <w:szCs w:val="32"/>
        </w:rPr>
      </w:pPr>
      <w:r>
        <w:rPr>
          <w:rFonts w:hint="eastAsia" w:ascii="黑体" w:hAnsi="黑体" w:eastAsia="黑体"/>
          <w:sz w:val="32"/>
          <w:szCs w:val="32"/>
        </w:rPr>
        <w:t>三、部门主要工作总结</w:t>
      </w:r>
    </w:p>
    <w:p>
      <w:pPr>
        <w:spacing w:line="52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2017年，我办认真学习贯彻党的十九大精神和十八届六中、七中全会及省、市、区委全委会精神，深化“放管服”改革，落实省、市机构编制工作会议精神，按照区委、区政府工作部署，持续推进重点领域各项改革，发挥机构编制的职能作用，在“管住、管好、管活”上下功夫，优化编制资源的绿色配置，加强机关党建工作，打造“铁一般”的机构编制队伍，为全区的经济发展、社会稳定和民生保障等方面发挥积极有效作用，为建设“机制活、产业优、百姓富、生态美”的新新罗提供强有力的体制机制保障。现将工作总结汇报如下：</w:t>
      </w:r>
    </w:p>
    <w:p>
      <w:pPr>
        <w:spacing w:line="52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着力推进“放管服”改革，不断完善清单制度</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1、贯彻上级会议精神，推进改革措施落实。1、及时贯彻会议精神，加强组织领导力量。</w:t>
      </w:r>
    </w:p>
    <w:p>
      <w:pPr>
        <w:widowControl/>
        <w:shd w:val="clear" w:color="auto" w:fill="FFFFFF"/>
        <w:spacing w:line="520" w:lineRule="exact"/>
        <w:ind w:left="315" w:leftChars="150" w:firstLine="307" w:firstLineChars="96"/>
        <w:rPr>
          <w:rFonts w:ascii="仿宋_GB2312" w:hAnsi="仿宋" w:eastAsia="仿宋_GB2312" w:cs="Times New Roman"/>
          <w:sz w:val="32"/>
          <w:szCs w:val="32"/>
        </w:rPr>
      </w:pPr>
      <w:r>
        <w:rPr>
          <w:rFonts w:hint="eastAsia" w:ascii="仿宋_GB2312" w:hAnsi="仿宋" w:eastAsia="仿宋_GB2312" w:cs="Times New Roman"/>
          <w:sz w:val="32"/>
          <w:szCs w:val="32"/>
        </w:rPr>
        <w:t>2、认真做好行政权力和公共服务事项下放的承接工作。</w:t>
      </w:r>
    </w:p>
    <w:p>
      <w:pPr>
        <w:widowControl/>
        <w:shd w:val="clear" w:color="auto" w:fill="FFFFFF"/>
        <w:spacing w:line="520" w:lineRule="exact"/>
        <w:ind w:left="315" w:leftChars="150" w:firstLine="307" w:firstLineChars="96"/>
        <w:rPr>
          <w:rFonts w:ascii="仿宋_GB2312" w:hAnsi="仿宋" w:eastAsia="仿宋_GB2312" w:cs="Times New Roman"/>
          <w:sz w:val="32"/>
          <w:szCs w:val="32"/>
        </w:rPr>
      </w:pPr>
      <w:r>
        <w:rPr>
          <w:rFonts w:hint="eastAsia" w:ascii="仿宋_GB2312" w:hAnsi="仿宋" w:eastAsia="仿宋_GB2312" w:cs="Times New Roman"/>
          <w:sz w:val="32"/>
          <w:szCs w:val="32"/>
        </w:rPr>
        <w:t>3、做好行政许可事项和公共服务事项目录清单的调整。</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4、及时调整前置审批和行政审批中介服务事项目录清单。</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5、做好省级纵向清单的承接工作。</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6、继续推进“双随机、一公开”事中事后监管。</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7、积极开展“减证便民”专项行动。</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8、做好推行“一趟不用跑”和“最多跑一趟”办事清单的清理公布工作。</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9、有力推进权力清单和责任清单融合工作。</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10、建立减权放权监管责任清单制度。</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11、每季度及时公布“放管服”改革措施。</w:t>
      </w:r>
    </w:p>
    <w:p>
      <w:pPr>
        <w:spacing w:line="52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坚持以服务为导向，提升机构编制保障水平</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1、补短板，创机制，建立政府购买服务制度，解决教师编制不足问题。</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2、抓管理，促保障，完善服务中心工作机制，确保重点领域机构编制的需要。</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3、严格按照上级和区委的要求，做好纪检综合派驻的机构编制工作。</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4、持续抓好事业单位的改革和清理规范工作，加大机构编制的撤并整合力度。</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5、加强党政群机关工勤事业编制管理。</w:t>
      </w:r>
    </w:p>
    <w:p>
      <w:pPr>
        <w:spacing w:line="52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坚持以问题为导向，切实加强机构机编制的监督管理工作，实现“两不超”的目标</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1、加强机构编制监督检查工作。</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2、做好机构编制统计工作。</w:t>
      </w:r>
    </w:p>
    <w:p>
      <w:pPr>
        <w:spacing w:line="52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做好事业单位登记管理、中文域名管理工作</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1、扎实开展事业单位登记管理工作。</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2、做好中文域名中心管理工作。</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3、积极为重点项目建设提供赋码服务。</w:t>
      </w:r>
    </w:p>
    <w:p>
      <w:pPr>
        <w:spacing w:line="520" w:lineRule="exact"/>
        <w:ind w:firstLine="640"/>
        <w:rPr>
          <w:rFonts w:ascii="仿宋_GB2312" w:hAnsi="黑体" w:eastAsia="仿宋_GB2312" w:cs="黑体"/>
          <w:b/>
          <w:sz w:val="32"/>
          <w:szCs w:val="32"/>
        </w:rPr>
      </w:pPr>
      <w:r>
        <w:rPr>
          <w:rFonts w:hint="eastAsia" w:ascii="仿宋_GB2312" w:hAnsi="黑体" w:eastAsia="仿宋_GB2312" w:cs="Times New Roman"/>
          <w:sz w:val="32"/>
          <w:szCs w:val="32"/>
        </w:rPr>
        <w:t>加强机关党建工作，打造“铁一般”的机构编制队伍</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1、认真学习贯彻党的十九大精神。</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2、加强机关党建工作，推进“两学一做”学习教育常态化。</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3、稳步推进精准扶贫工作。截止12月底，入户走访贫困户4次。</w:t>
      </w:r>
    </w:p>
    <w:p>
      <w:pPr>
        <w:widowControl/>
        <w:shd w:val="clear" w:color="auto" w:fill="FFFFFF"/>
        <w:spacing w:line="520" w:lineRule="exact"/>
        <w:ind w:firstLine="627" w:firstLineChars="196"/>
        <w:rPr>
          <w:rFonts w:ascii="仿宋_GB2312" w:hAnsi="仿宋" w:eastAsia="仿宋_GB2312" w:cs="Times New Roman"/>
          <w:sz w:val="32"/>
          <w:szCs w:val="32"/>
        </w:rPr>
      </w:pPr>
      <w:r>
        <w:rPr>
          <w:rFonts w:hint="eastAsia" w:ascii="仿宋_GB2312" w:hAnsi="仿宋" w:eastAsia="仿宋_GB2312" w:cs="Times New Roman"/>
          <w:sz w:val="32"/>
          <w:szCs w:val="32"/>
        </w:rPr>
        <w:t>4、做好精神文明建设等各项中心工作。</w:t>
      </w:r>
    </w:p>
    <w:p>
      <w:pPr>
        <w:widowControl/>
        <w:shd w:val="clear" w:color="auto" w:fill="FFFFFF"/>
        <w:spacing w:line="520" w:lineRule="exact"/>
        <w:ind w:firstLine="627" w:firstLineChars="196"/>
        <w:rPr>
          <w:rFonts w:ascii="仿宋_GB2312" w:hAnsi="仿宋" w:eastAsia="仿宋_GB2312"/>
          <w:sz w:val="32"/>
          <w:szCs w:val="32"/>
        </w:rPr>
      </w:pPr>
      <w:r>
        <w:rPr>
          <w:rFonts w:hint="eastAsia" w:ascii="仿宋_GB2312" w:hAnsi="仿宋" w:eastAsia="仿宋_GB2312" w:cs="Times New Roman"/>
          <w:sz w:val="32"/>
          <w:szCs w:val="32"/>
        </w:rPr>
        <w:t>5、加强党风廉政和机关效能建设。</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四、2017年决算收支总体情况</w:t>
      </w:r>
    </w:p>
    <w:p>
      <w:pPr>
        <w:tabs>
          <w:tab w:val="left" w:pos="7513"/>
        </w:tabs>
        <w:adjustRightInd w:val="0"/>
        <w:snapToGrid w:val="0"/>
        <w:spacing w:line="520" w:lineRule="exact"/>
        <w:ind w:firstLine="640" w:firstLineChars="200"/>
        <w:rPr>
          <w:rFonts w:ascii="仿宋_GB2312" w:hAnsi="仿宋" w:eastAsia="仿宋_GB2312" w:cs="仿宋_GB2312"/>
          <w:sz w:val="32"/>
          <w:szCs w:val="32"/>
        </w:rPr>
      </w:pPr>
      <w:r>
        <w:rPr>
          <w:rFonts w:hint="eastAsia" w:ascii="仿宋_GB2312" w:hAnsi="仿宋" w:eastAsia="仿宋_GB2312"/>
          <w:sz w:val="32"/>
          <w:szCs w:val="32"/>
        </w:rPr>
        <w:t>2017</w:t>
      </w:r>
      <w:r>
        <w:rPr>
          <w:rFonts w:hint="eastAsia" w:ascii="仿宋_GB2312" w:hAnsi="仿宋" w:eastAsia="仿宋_GB2312" w:cs="仿宋_GB2312"/>
          <w:sz w:val="32"/>
          <w:szCs w:val="32"/>
        </w:rPr>
        <w:t>年编办年初结转和结余15.31万元，本年收入177.86万元，本年支出178.8万元，事业基金弥补收支差额0万元，结余分配0万元，年末结转和结余14.36万元。</w:t>
      </w:r>
    </w:p>
    <w:p>
      <w:pPr>
        <w:autoSpaceDE w:val="0"/>
        <w:autoSpaceDN w:val="0"/>
        <w:adjustRightInd w:val="0"/>
        <w:spacing w:line="520" w:lineRule="exact"/>
        <w:ind w:firstLine="640" w:firstLineChars="200"/>
        <w:rPr>
          <w:rFonts w:ascii="仿宋_GB2312" w:hAnsi="仿宋" w:eastAsia="仿宋_GB2312" w:cs="Times New Roman"/>
          <w:sz w:val="32"/>
          <w:szCs w:val="32"/>
        </w:rPr>
      </w:pPr>
      <w:r>
        <w:rPr>
          <w:rFonts w:hint="eastAsia" w:ascii="仿宋_GB2312" w:hAnsi="仿宋" w:eastAsia="仿宋_GB2312" w:cs="仿宋_GB2312"/>
          <w:sz w:val="32"/>
          <w:szCs w:val="32"/>
        </w:rPr>
        <w:t>（一）2017年收入177.86万元，比2016年决算数增加20.04万元，增长12.7％</w:t>
      </w:r>
      <w:r>
        <w:rPr>
          <w:rFonts w:hint="eastAsia" w:ascii="仿宋_GB2312" w:hAnsi="仿宋" w:eastAsia="仿宋_GB2312"/>
          <w:sz w:val="32"/>
          <w:szCs w:val="32"/>
        </w:rPr>
        <w:t>，</w:t>
      </w:r>
      <w:r>
        <w:rPr>
          <w:rFonts w:hint="eastAsia" w:ascii="仿宋_GB2312" w:hAnsi="仿宋" w:eastAsia="仿宋_GB2312" w:cs="仿宋_GB2312"/>
          <w:sz w:val="32"/>
          <w:szCs w:val="32"/>
        </w:rPr>
        <w:t>具体情况如下：</w:t>
      </w:r>
    </w:p>
    <w:p>
      <w:pPr>
        <w:autoSpaceDE w:val="0"/>
        <w:autoSpaceDN w:val="0"/>
        <w:adjustRightInd w:val="0"/>
        <w:spacing w:line="520" w:lineRule="exact"/>
        <w:ind w:left="160" w:leftChars="76" w:firstLine="480" w:firstLineChars="150"/>
        <w:rPr>
          <w:rFonts w:ascii="仿宋_GB2312" w:hAnsi="仿宋" w:eastAsia="仿宋_GB2312"/>
          <w:sz w:val="32"/>
          <w:szCs w:val="32"/>
        </w:rPr>
      </w:pPr>
      <w:r>
        <w:rPr>
          <w:rFonts w:hint="eastAsia" w:ascii="仿宋_GB2312" w:hAnsi="仿宋" w:eastAsia="仿宋_GB2312" w:cs="仿宋_GB2312"/>
          <w:sz w:val="32"/>
          <w:szCs w:val="32"/>
        </w:rPr>
        <w:t>1.财政拨款收入167.68万元，其中政府性基金0万元。</w:t>
      </w:r>
    </w:p>
    <w:p>
      <w:pPr>
        <w:autoSpaceDE w:val="0"/>
        <w:autoSpaceDN w:val="0"/>
        <w:adjustRightInd w:val="0"/>
        <w:spacing w:line="52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2.事业收入0万元。</w:t>
      </w:r>
    </w:p>
    <w:p>
      <w:pPr>
        <w:autoSpaceDE w:val="0"/>
        <w:autoSpaceDN w:val="0"/>
        <w:adjustRightInd w:val="0"/>
        <w:spacing w:line="52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3.经营收入0万元。</w:t>
      </w:r>
    </w:p>
    <w:p>
      <w:pPr>
        <w:autoSpaceDE w:val="0"/>
        <w:autoSpaceDN w:val="0"/>
        <w:adjustRightInd w:val="0"/>
        <w:spacing w:line="52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4.</w:t>
      </w:r>
      <w:r>
        <w:rPr>
          <w:rFonts w:hint="eastAsia" w:ascii="仿宋_GB2312" w:hAnsi="仿宋" w:eastAsia="仿宋_GB2312"/>
          <w:sz w:val="32"/>
          <w:szCs w:val="32"/>
        </w:rPr>
        <w:t>上级补助收入</w:t>
      </w:r>
      <w:r>
        <w:rPr>
          <w:rFonts w:hint="eastAsia" w:ascii="仿宋_GB2312" w:hAnsi="仿宋" w:eastAsia="仿宋_GB2312" w:cs="仿宋_GB2312"/>
          <w:sz w:val="32"/>
          <w:szCs w:val="32"/>
        </w:rPr>
        <w:t>0</w:t>
      </w:r>
      <w:r>
        <w:rPr>
          <w:rFonts w:hint="eastAsia" w:ascii="仿宋_GB2312" w:hAnsi="仿宋" w:eastAsia="仿宋_GB2312"/>
          <w:sz w:val="32"/>
          <w:szCs w:val="32"/>
        </w:rPr>
        <w:t>万元。</w:t>
      </w:r>
    </w:p>
    <w:p>
      <w:pPr>
        <w:autoSpaceDE w:val="0"/>
        <w:autoSpaceDN w:val="0"/>
        <w:adjustRightInd w:val="0"/>
        <w:spacing w:line="52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5.附属单位上缴收入0万元。</w:t>
      </w:r>
    </w:p>
    <w:p>
      <w:pPr>
        <w:autoSpaceDE w:val="0"/>
        <w:autoSpaceDN w:val="0"/>
        <w:adjustRightInd w:val="0"/>
        <w:spacing w:line="52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6.其他收入10.18万元。</w:t>
      </w:r>
    </w:p>
    <w:p>
      <w:pPr>
        <w:autoSpaceDE w:val="0"/>
        <w:autoSpaceDN w:val="0"/>
        <w:adjustRightInd w:val="0"/>
        <w:spacing w:line="520" w:lineRule="exact"/>
        <w:ind w:firstLine="640" w:firstLineChars="200"/>
        <w:rPr>
          <w:rFonts w:ascii="仿宋_GB2312" w:hAnsi="仿宋" w:eastAsia="仿宋_GB2312" w:cs="Times New Roman"/>
          <w:sz w:val="32"/>
          <w:szCs w:val="32"/>
        </w:rPr>
      </w:pPr>
      <w:r>
        <w:rPr>
          <w:rFonts w:hint="eastAsia" w:ascii="仿宋_GB2312" w:hAnsi="仿宋" w:eastAsia="仿宋_GB2312" w:cs="仿宋_GB2312"/>
          <w:sz w:val="32"/>
          <w:szCs w:val="32"/>
        </w:rPr>
        <w:t>（二）</w:t>
      </w:r>
      <w:r>
        <w:rPr>
          <w:rFonts w:hint="eastAsia" w:ascii="仿宋_GB2312" w:hAnsi="仿宋" w:eastAsia="仿宋_GB2312"/>
          <w:sz w:val="32"/>
          <w:szCs w:val="32"/>
        </w:rPr>
        <w:t>2017</w:t>
      </w:r>
      <w:r>
        <w:rPr>
          <w:rFonts w:hint="eastAsia" w:ascii="仿宋_GB2312" w:hAnsi="仿宋" w:eastAsia="仿宋_GB2312" w:cs="仿宋_GB2312"/>
          <w:sz w:val="32"/>
          <w:szCs w:val="32"/>
        </w:rPr>
        <w:t>年支出178.8万元，比2016年决算数增加26.79万元，增长17.62％</w:t>
      </w:r>
      <w:r>
        <w:rPr>
          <w:rFonts w:hint="eastAsia" w:ascii="仿宋_GB2312" w:hAnsi="仿宋" w:eastAsia="仿宋_GB2312"/>
          <w:sz w:val="32"/>
          <w:szCs w:val="32"/>
        </w:rPr>
        <w:t>，</w:t>
      </w:r>
      <w:r>
        <w:rPr>
          <w:rFonts w:hint="eastAsia" w:ascii="仿宋_GB2312" w:hAnsi="仿宋" w:eastAsia="仿宋_GB2312" w:cs="仿宋_GB2312"/>
          <w:sz w:val="32"/>
          <w:szCs w:val="32"/>
        </w:rPr>
        <w:t>具体情况如下：</w:t>
      </w:r>
    </w:p>
    <w:p>
      <w:pPr>
        <w:tabs>
          <w:tab w:val="left" w:pos="7513"/>
        </w:tabs>
        <w:adjustRightInd w:val="0"/>
        <w:snapToGrid w:val="0"/>
        <w:spacing w:line="520" w:lineRule="exact"/>
        <w:ind w:left="237" w:leftChars="113" w:firstLine="480" w:firstLineChars="150"/>
        <w:rPr>
          <w:rFonts w:ascii="仿宋_GB2312" w:hAnsi="仿宋" w:eastAsia="仿宋_GB2312"/>
          <w:sz w:val="32"/>
          <w:szCs w:val="32"/>
        </w:rPr>
      </w:pPr>
      <w:r>
        <w:rPr>
          <w:rFonts w:hint="eastAsia" w:ascii="仿宋_GB2312" w:hAnsi="仿宋" w:eastAsia="仿宋_GB2312" w:cs="仿宋_GB2312"/>
          <w:sz w:val="32"/>
          <w:szCs w:val="32"/>
        </w:rPr>
        <w:t>1.基本支出157.03万元。其中，人员支出152.00万元，公用支出5.03万元。</w:t>
      </w:r>
    </w:p>
    <w:p>
      <w:pPr>
        <w:tabs>
          <w:tab w:val="left" w:pos="7513"/>
        </w:tabs>
        <w:adjustRightInd w:val="0"/>
        <w:snapToGrid w:val="0"/>
        <w:spacing w:line="520" w:lineRule="exact"/>
        <w:ind w:left="716" w:leftChars="341"/>
        <w:rPr>
          <w:rFonts w:ascii="仿宋_GB2312" w:hAnsi="仿宋" w:eastAsia="仿宋_GB2312"/>
          <w:sz w:val="32"/>
          <w:szCs w:val="32"/>
        </w:rPr>
      </w:pPr>
      <w:r>
        <w:rPr>
          <w:rFonts w:hint="eastAsia" w:ascii="仿宋_GB2312" w:hAnsi="仿宋" w:eastAsia="仿宋_GB2312" w:cs="仿宋_GB2312"/>
          <w:sz w:val="32"/>
          <w:szCs w:val="32"/>
        </w:rPr>
        <w:t>2.项目支出21.78万元。</w:t>
      </w:r>
    </w:p>
    <w:p>
      <w:pPr>
        <w:tabs>
          <w:tab w:val="left" w:pos="7513"/>
        </w:tabs>
        <w:adjustRightInd w:val="0"/>
        <w:snapToGrid w:val="0"/>
        <w:spacing w:line="520" w:lineRule="exact"/>
        <w:ind w:left="716" w:leftChars="341"/>
        <w:rPr>
          <w:rFonts w:ascii="仿宋_GB2312" w:hAnsi="仿宋" w:eastAsia="仿宋_GB2312"/>
          <w:sz w:val="32"/>
          <w:szCs w:val="32"/>
        </w:rPr>
      </w:pPr>
      <w:r>
        <w:rPr>
          <w:rFonts w:hint="eastAsia" w:ascii="仿宋_GB2312" w:hAnsi="仿宋" w:eastAsia="仿宋_GB2312" w:cs="仿宋_GB2312"/>
          <w:sz w:val="32"/>
          <w:szCs w:val="32"/>
        </w:rPr>
        <w:t>3.上缴上级支出0万元。</w:t>
      </w:r>
    </w:p>
    <w:p>
      <w:pPr>
        <w:tabs>
          <w:tab w:val="left" w:pos="7513"/>
        </w:tabs>
        <w:adjustRightInd w:val="0"/>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4.经营支出0万元。</w:t>
      </w:r>
    </w:p>
    <w:p>
      <w:pPr>
        <w:spacing w:line="52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5.对附属单位补助支出0万元。</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五、一般公共预算拨款支出决算情况</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2017年一般公共预算拨款支出170.79万元，比上年决算数增加25.34万元，增长17.42%，具体情况如下(按项级科目分类统计)：</w:t>
      </w:r>
    </w:p>
    <w:p>
      <w:pPr>
        <w:tabs>
          <w:tab w:val="left" w:pos="7513"/>
        </w:tabs>
        <w:adjustRightInd w:val="0"/>
        <w:snapToGrid w:val="0"/>
        <w:spacing w:line="520" w:lineRule="exact"/>
        <w:ind w:firstLine="704" w:firstLineChars="220"/>
        <w:rPr>
          <w:rFonts w:ascii="仿宋_GB2312" w:hAnsi="仿宋" w:eastAsia="仿宋_GB2312" w:cs="仿宋_GB2312"/>
          <w:sz w:val="32"/>
          <w:szCs w:val="32"/>
        </w:rPr>
      </w:pPr>
      <w:r>
        <w:rPr>
          <w:rFonts w:hint="eastAsia" w:ascii="仿宋_GB2312" w:hAnsi="仿宋" w:eastAsia="仿宋_GB2312"/>
          <w:sz w:val="32"/>
          <w:szCs w:val="32"/>
        </w:rPr>
        <w:t>（一）</w:t>
      </w:r>
      <w:r>
        <w:rPr>
          <w:rFonts w:hint="eastAsia" w:ascii="仿宋_GB2312" w:hAnsi="仿宋" w:eastAsia="仿宋_GB2312" w:cs="仿宋_GB2312"/>
          <w:sz w:val="32"/>
          <w:szCs w:val="32"/>
        </w:rPr>
        <w:t>2013101行政运行费用149.01万元，较2016年决算数增加19.35万元，增长14.92%。主要原因是2017年人员工资调整。</w:t>
      </w:r>
    </w:p>
    <w:p>
      <w:pPr>
        <w:tabs>
          <w:tab w:val="left" w:pos="7513"/>
        </w:tabs>
        <w:adjustRightInd w:val="0"/>
        <w:snapToGrid w:val="0"/>
        <w:spacing w:line="520" w:lineRule="exact"/>
        <w:ind w:firstLine="704" w:firstLineChars="220"/>
        <w:rPr>
          <w:rFonts w:ascii="仿宋_GB2312" w:hAnsi="仿宋" w:eastAsia="仿宋_GB2312" w:cs="仿宋_GB2312"/>
          <w:sz w:val="32"/>
          <w:szCs w:val="32"/>
        </w:rPr>
      </w:pPr>
      <w:r>
        <w:rPr>
          <w:rFonts w:hint="eastAsia" w:ascii="仿宋_GB2312" w:hAnsi="仿宋" w:eastAsia="仿宋_GB2312"/>
          <w:sz w:val="32"/>
          <w:szCs w:val="32"/>
        </w:rPr>
        <w:t>（二）</w:t>
      </w:r>
      <w:r>
        <w:rPr>
          <w:rFonts w:hint="eastAsia" w:ascii="仿宋_GB2312" w:hAnsi="仿宋" w:eastAsia="仿宋_GB2312" w:cs="仿宋_GB2312"/>
          <w:sz w:val="32"/>
          <w:szCs w:val="32"/>
        </w:rPr>
        <w:t>2013199其他党委办公厅（室）及相关事务支出21.78 万元。较2016年决算数增加5.99万，增加37.94%。主要原因是2017年办公室搬迁修缮费用增加。</w:t>
      </w:r>
    </w:p>
    <w:p>
      <w:pPr>
        <w:tabs>
          <w:tab w:val="left" w:pos="7513"/>
        </w:tabs>
        <w:adjustRightInd w:val="0"/>
        <w:snapToGrid w:val="0"/>
        <w:spacing w:line="52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六、政府性基金支出决算情况</w:t>
      </w:r>
    </w:p>
    <w:p>
      <w:pPr>
        <w:tabs>
          <w:tab w:val="left" w:pos="7513"/>
        </w:tabs>
        <w:adjustRightInd w:val="0"/>
        <w:snapToGrid w:val="0"/>
        <w:spacing w:line="520" w:lineRule="exact"/>
        <w:ind w:firstLine="704" w:firstLineChars="220"/>
        <w:rPr>
          <w:rFonts w:ascii="仿宋_GB2312" w:hAnsi="仿宋" w:eastAsia="仿宋_GB2312" w:cs="仿宋_GB2312"/>
          <w:sz w:val="32"/>
          <w:szCs w:val="32"/>
        </w:rPr>
      </w:pPr>
      <w:r>
        <w:rPr>
          <w:rFonts w:hint="eastAsia" w:ascii="仿宋_GB2312" w:hAnsi="楷体" w:eastAsia="仿宋_GB2312" w:cs="仿宋_GB2312"/>
          <w:sz w:val="32"/>
          <w:szCs w:val="32"/>
        </w:rPr>
        <w:t>本单位2017年度没有使用政府性基金预算拨款安排的支出”。</w:t>
      </w:r>
    </w:p>
    <w:p>
      <w:pPr>
        <w:tabs>
          <w:tab w:val="left" w:pos="7513"/>
        </w:tabs>
        <w:adjustRightInd w:val="0"/>
        <w:snapToGrid w:val="0"/>
        <w:spacing w:line="52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七、财政拨款基本支出决算情况</w:t>
      </w:r>
    </w:p>
    <w:p>
      <w:pPr>
        <w:tabs>
          <w:tab w:val="left" w:pos="7513"/>
        </w:tabs>
        <w:adjustRightInd w:val="0"/>
        <w:snapToGrid w:val="0"/>
        <w:spacing w:line="520" w:lineRule="exact"/>
        <w:ind w:firstLine="640" w:firstLineChars="200"/>
        <w:rPr>
          <w:rFonts w:ascii="仿宋_GB2312" w:hAnsi="仿宋" w:eastAsia="仿宋_GB2312" w:cs="仿宋_GB2312"/>
          <w:sz w:val="32"/>
          <w:szCs w:val="32"/>
        </w:rPr>
      </w:pPr>
      <w:r>
        <w:rPr>
          <w:rFonts w:hint="eastAsia" w:ascii="仿宋_GB2312" w:hAnsi="仿宋" w:eastAsia="仿宋_GB2312"/>
          <w:sz w:val="32"/>
          <w:szCs w:val="32"/>
        </w:rPr>
        <w:t>2017</w:t>
      </w:r>
      <w:r>
        <w:rPr>
          <w:rFonts w:hint="eastAsia" w:ascii="仿宋_GB2312" w:hAnsi="仿宋" w:eastAsia="仿宋_GB2312" w:cs="仿宋_GB2312"/>
          <w:sz w:val="32"/>
          <w:szCs w:val="32"/>
        </w:rPr>
        <w:t>年度财政拨款基本支出149.01万元，其中：</w:t>
      </w:r>
    </w:p>
    <w:p>
      <w:pPr>
        <w:tabs>
          <w:tab w:val="left" w:pos="7513"/>
        </w:tabs>
        <w:adjustRightInd w:val="0"/>
        <w:snapToGrid w:val="0"/>
        <w:spacing w:line="52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一）人员经费143.98万元，主要包括：基本工资、津贴补贴、奖金、伙食补助费、绩效工资、机关事业单位基本养老保险缴费、职业年金缴费、其他社会保障缴费、其他工资福利支出、退休费、抚恤金、生活补助、医疗费、奖励金、住房公积金、其他对个人和家庭的补助支出。</w:t>
      </w:r>
    </w:p>
    <w:p>
      <w:pPr>
        <w:tabs>
          <w:tab w:val="left" w:pos="7513"/>
        </w:tabs>
        <w:adjustRightInd w:val="0"/>
        <w:snapToGrid w:val="0"/>
        <w:spacing w:line="52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（二）公用经费5.03万元，主要包括：工会经费、其他交通费用。</w:t>
      </w:r>
    </w:p>
    <w:p>
      <w:pPr>
        <w:tabs>
          <w:tab w:val="left" w:pos="7513"/>
        </w:tabs>
        <w:adjustRightInd w:val="0"/>
        <w:snapToGrid w:val="0"/>
        <w:spacing w:line="52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八、</w:t>
      </w:r>
      <w:r>
        <w:rPr>
          <w:rFonts w:hint="eastAsia" w:ascii="黑体" w:hAnsi="黑体" w:eastAsia="黑体"/>
          <w:sz w:val="32"/>
          <w:szCs w:val="32"/>
        </w:rPr>
        <w:t>一般公共预算拨款</w:t>
      </w:r>
      <w:r>
        <w:rPr>
          <w:rFonts w:hint="eastAsia" w:ascii="黑体" w:hAnsi="黑体" w:eastAsia="黑体" w:cs="仿宋_GB2312"/>
          <w:bCs/>
          <w:sz w:val="32"/>
          <w:szCs w:val="32"/>
        </w:rPr>
        <w:t>“三公”经费支出决算情况</w:t>
      </w:r>
    </w:p>
    <w:p>
      <w:pPr>
        <w:tabs>
          <w:tab w:val="left" w:pos="7513"/>
        </w:tabs>
        <w:adjustRightInd w:val="0"/>
        <w:snapToGrid w:val="0"/>
        <w:spacing w:line="520" w:lineRule="exact"/>
        <w:ind w:firstLine="704" w:firstLineChars="220"/>
        <w:rPr>
          <w:rFonts w:ascii="仿宋_GB2312" w:hAnsi="仿宋" w:eastAsia="仿宋_GB2312" w:cs="仿宋_GB2312"/>
          <w:sz w:val="32"/>
          <w:szCs w:val="32"/>
        </w:rPr>
      </w:pPr>
      <w:r>
        <w:rPr>
          <w:rFonts w:hint="eastAsia" w:ascii="仿宋_GB2312" w:hAnsi="仿宋" w:eastAsia="仿宋_GB2312" w:cs="仿宋_GB2312"/>
          <w:sz w:val="32"/>
          <w:szCs w:val="32"/>
        </w:rPr>
        <w:t>2017年度“三公”经费一般公共预算拨款0万元，同比下降100%。具体情况如下：</w:t>
      </w:r>
      <w:r>
        <w:rPr>
          <w:rFonts w:hint="eastAsia" w:ascii="仿宋_GB2312" w:hAnsi="仿宋" w:eastAsia="仿宋_GB2312" w:cs="仿宋_GB2312"/>
          <w:sz w:val="32"/>
          <w:szCs w:val="32"/>
        </w:rPr>
        <w:br/>
      </w:r>
      <w:r>
        <w:rPr>
          <w:rFonts w:hint="eastAsia" w:ascii="仿宋_GB2312" w:hAnsi="仿宋" w:eastAsia="仿宋_GB2312" w:cs="仿宋_GB2312"/>
          <w:sz w:val="32"/>
          <w:szCs w:val="32"/>
        </w:rPr>
        <w:t>　　（一）因公出国（境）费0万元，与上年决算数持平16年、17年都无该项支出。</w:t>
      </w:r>
      <w:r>
        <w:rPr>
          <w:rFonts w:hint="eastAsia" w:ascii="仿宋_GB2312" w:hAnsi="仿宋" w:eastAsia="仿宋_GB2312" w:cs="仿宋_GB2312"/>
          <w:sz w:val="32"/>
          <w:szCs w:val="32"/>
        </w:rPr>
        <w:br/>
      </w:r>
      <w:r>
        <w:rPr>
          <w:rFonts w:hint="eastAsia" w:ascii="仿宋_GB2312" w:hAnsi="仿宋" w:eastAsia="仿宋_GB2312" w:cs="仿宋_GB2312"/>
          <w:sz w:val="32"/>
          <w:szCs w:val="32"/>
        </w:rPr>
        <w:t xml:space="preserve">    （二）公务用车购置及运行费0万元。与2016年相比，公务用车运行费下降100%，主要是:2017年公车改革都调到平台。</w:t>
      </w:r>
      <w:r>
        <w:rPr>
          <w:rFonts w:hint="eastAsia" w:ascii="仿宋_GB2312" w:hAnsi="仿宋" w:eastAsia="仿宋_GB2312" w:cs="仿宋_GB2312"/>
          <w:sz w:val="32"/>
          <w:szCs w:val="32"/>
        </w:rPr>
        <w:br/>
      </w:r>
      <w:r>
        <w:rPr>
          <w:rFonts w:hint="eastAsia" w:ascii="仿宋_GB2312" w:hAnsi="仿宋" w:eastAsia="仿宋_GB2312" w:cs="仿宋_GB2312"/>
          <w:sz w:val="32"/>
          <w:szCs w:val="32"/>
        </w:rPr>
        <w:t>　　（三）公务接待费0万元，与上年决算数持平16年、17年都无该项支出。</w:t>
      </w:r>
    </w:p>
    <w:p>
      <w:pPr>
        <w:tabs>
          <w:tab w:val="left" w:pos="7513"/>
        </w:tabs>
        <w:adjustRightInd w:val="0"/>
        <w:snapToGrid w:val="0"/>
        <w:spacing w:line="520" w:lineRule="exact"/>
        <w:ind w:firstLine="640" w:firstLineChars="200"/>
        <w:rPr>
          <w:rFonts w:ascii="黑体" w:hAnsi="黑体" w:eastAsia="黑体"/>
          <w:sz w:val="32"/>
          <w:szCs w:val="32"/>
        </w:rPr>
      </w:pPr>
      <w:r>
        <w:rPr>
          <w:rFonts w:hint="eastAsia" w:ascii="黑体" w:hAnsi="黑体" w:eastAsia="黑体"/>
          <w:sz w:val="32"/>
          <w:szCs w:val="32"/>
        </w:rPr>
        <w:t>九、其他重要事项说明</w:t>
      </w:r>
    </w:p>
    <w:p>
      <w:pPr>
        <w:tabs>
          <w:tab w:val="left" w:pos="7513"/>
        </w:tabs>
        <w:adjustRightInd w:val="0"/>
        <w:snapToGrid w:val="0"/>
        <w:spacing w:line="520" w:lineRule="exact"/>
        <w:ind w:firstLine="640" w:firstLineChars="200"/>
        <w:rPr>
          <w:rFonts w:ascii="仿宋_GB2312" w:hAnsi="黑体" w:eastAsia="仿宋_GB2312" w:cs="仿宋_GB2312"/>
          <w:bCs/>
          <w:sz w:val="32"/>
          <w:szCs w:val="32"/>
        </w:rPr>
      </w:pPr>
      <w:r>
        <w:rPr>
          <w:rFonts w:hint="eastAsia" w:ascii="仿宋_GB2312" w:hAnsi="楷体" w:eastAsia="仿宋_GB2312"/>
          <w:sz w:val="32"/>
          <w:szCs w:val="32"/>
        </w:rPr>
        <w:t>（一）机关运行经费</w:t>
      </w:r>
    </w:p>
    <w:p>
      <w:pPr>
        <w:tabs>
          <w:tab w:val="left" w:pos="7513"/>
        </w:tabs>
        <w:adjustRightInd w:val="0"/>
        <w:snapToGrid w:val="0"/>
        <w:spacing w:line="520" w:lineRule="exact"/>
        <w:ind w:firstLine="640" w:firstLineChars="200"/>
        <w:rPr>
          <w:rFonts w:ascii="仿宋_GB2312" w:hAnsi="仿宋" w:eastAsia="仿宋_GB2312" w:cs="仿宋_GB2312"/>
          <w:sz w:val="32"/>
          <w:szCs w:val="32"/>
        </w:rPr>
      </w:pPr>
      <w:r>
        <w:rPr>
          <w:rFonts w:hint="eastAsia" w:ascii="仿宋_GB2312" w:hAnsi="仿宋" w:eastAsia="仿宋_GB2312"/>
          <w:sz w:val="32"/>
          <w:szCs w:val="32"/>
        </w:rPr>
        <w:t>2017</w:t>
      </w:r>
      <w:r>
        <w:rPr>
          <w:rFonts w:hint="eastAsia" w:ascii="仿宋_GB2312" w:hAnsi="仿宋" w:eastAsia="仿宋_GB2312" w:cs="仿宋_GB2312"/>
          <w:sz w:val="32"/>
          <w:szCs w:val="32"/>
        </w:rPr>
        <w:t>年度机关运行经费支出5.03万元，比</w:t>
      </w:r>
      <w:r>
        <w:rPr>
          <w:rFonts w:hint="eastAsia" w:ascii="仿宋_GB2312" w:hAnsi="仿宋" w:eastAsia="仿宋_GB2312"/>
          <w:sz w:val="32"/>
          <w:szCs w:val="32"/>
        </w:rPr>
        <w:t>上年</w:t>
      </w:r>
      <w:r>
        <w:rPr>
          <w:rFonts w:hint="eastAsia" w:ascii="仿宋_GB2312" w:hAnsi="仿宋" w:eastAsia="仿宋_GB2312" w:cs="仿宋_GB2312"/>
          <w:sz w:val="32"/>
          <w:szCs w:val="32"/>
        </w:rPr>
        <w:t>决算数增长1.21%，主要是:办公室搬迁。</w:t>
      </w:r>
    </w:p>
    <w:p>
      <w:pPr>
        <w:autoSpaceDE w:val="0"/>
        <w:autoSpaceDN w:val="0"/>
        <w:adjustRightInd w:val="0"/>
        <w:spacing w:line="520" w:lineRule="exact"/>
        <w:ind w:firstLine="640" w:firstLineChars="200"/>
        <w:jc w:val="left"/>
        <w:rPr>
          <w:rFonts w:ascii="仿宋_GB2312" w:hAnsi="黑体" w:eastAsia="仿宋_GB2312" w:cs="仿宋_GB2312"/>
          <w:kern w:val="0"/>
          <w:sz w:val="32"/>
          <w:szCs w:val="32"/>
        </w:rPr>
      </w:pPr>
      <w:r>
        <w:rPr>
          <w:rFonts w:hint="eastAsia" w:ascii="仿宋_GB2312" w:hAnsi="楷体" w:eastAsia="仿宋_GB2312"/>
          <w:sz w:val="32"/>
          <w:szCs w:val="32"/>
        </w:rPr>
        <w:t>（二）政府采购情况</w:t>
      </w:r>
    </w:p>
    <w:p>
      <w:pPr>
        <w:autoSpaceDE w:val="0"/>
        <w:autoSpaceDN w:val="0"/>
        <w:adjustRightInd w:val="0"/>
        <w:spacing w:line="520" w:lineRule="exact"/>
        <w:ind w:firstLine="640" w:firstLineChars="200"/>
        <w:jc w:val="left"/>
        <w:rPr>
          <w:rFonts w:ascii="仿宋_GB2312" w:hAnsi="仿宋" w:eastAsia="仿宋_GB2312" w:cs="仿宋_GB2312"/>
          <w:kern w:val="0"/>
          <w:sz w:val="32"/>
          <w:szCs w:val="32"/>
        </w:rPr>
      </w:pPr>
      <w:r>
        <w:rPr>
          <w:rFonts w:hint="eastAsia" w:ascii="仿宋_GB2312" w:hAnsi="仿宋" w:eastAsia="仿宋_GB2312" w:cs="仿宋_GB2312"/>
          <w:kern w:val="0"/>
          <w:sz w:val="32"/>
          <w:szCs w:val="32"/>
        </w:rPr>
        <w:t>编办</w:t>
      </w:r>
      <w:r>
        <w:rPr>
          <w:rFonts w:hint="eastAsia" w:ascii="仿宋_GB2312" w:hAnsi="仿宋" w:eastAsia="仿宋_GB2312"/>
          <w:sz w:val="32"/>
          <w:szCs w:val="32"/>
        </w:rPr>
        <w:t>2017</w:t>
      </w:r>
      <w:r>
        <w:rPr>
          <w:rFonts w:hint="eastAsia" w:ascii="仿宋_GB2312" w:hAnsi="仿宋" w:eastAsia="仿宋_GB2312" w:cs="仿宋_GB2312"/>
          <w:sz w:val="32"/>
          <w:szCs w:val="32"/>
        </w:rPr>
        <w:t>年度</w:t>
      </w:r>
      <w:r>
        <w:rPr>
          <w:rFonts w:hint="eastAsia" w:ascii="仿宋_GB2312" w:hAnsi="仿宋" w:eastAsia="仿宋_GB2312" w:cs="仿宋_GB2312"/>
          <w:kern w:val="0"/>
          <w:sz w:val="32"/>
          <w:szCs w:val="32"/>
        </w:rPr>
        <w:t>政府采购支出总额</w:t>
      </w:r>
      <w:r>
        <w:rPr>
          <w:rFonts w:hint="eastAsia" w:ascii="仿宋_GB2312" w:hAnsi="仿宋" w:eastAsia="仿宋_GB2312" w:cs="仿宋_GB2312"/>
          <w:sz w:val="32"/>
          <w:szCs w:val="32"/>
        </w:rPr>
        <w:t>4.38</w:t>
      </w:r>
      <w:r>
        <w:rPr>
          <w:rFonts w:hint="eastAsia" w:ascii="仿宋_GB2312" w:hAnsi="仿宋" w:eastAsia="仿宋_GB2312" w:cs="仿宋_GB2312"/>
          <w:kern w:val="0"/>
          <w:sz w:val="32"/>
          <w:szCs w:val="32"/>
        </w:rPr>
        <w:t>万元，其中：政府采购货物支出</w:t>
      </w:r>
      <w:r>
        <w:rPr>
          <w:rFonts w:hint="eastAsia" w:ascii="仿宋_GB2312" w:hAnsi="仿宋" w:eastAsia="仿宋_GB2312" w:cs="仿宋_GB2312"/>
          <w:sz w:val="32"/>
          <w:szCs w:val="32"/>
        </w:rPr>
        <w:t>4.38</w:t>
      </w:r>
      <w:r>
        <w:rPr>
          <w:rFonts w:hint="eastAsia" w:ascii="仿宋_GB2312" w:hAnsi="仿宋" w:eastAsia="仿宋_GB2312" w:cs="仿宋_GB2312"/>
          <w:kern w:val="0"/>
          <w:sz w:val="32"/>
          <w:szCs w:val="32"/>
        </w:rPr>
        <w:t>万元、政府采购工程支出</w:t>
      </w:r>
      <w:r>
        <w:rPr>
          <w:rFonts w:hint="eastAsia" w:ascii="仿宋_GB2312" w:hAnsi="仿宋" w:eastAsia="仿宋_GB2312" w:cs="仿宋_GB2312"/>
          <w:sz w:val="32"/>
          <w:szCs w:val="32"/>
        </w:rPr>
        <w:t>0</w:t>
      </w:r>
      <w:r>
        <w:rPr>
          <w:rFonts w:hint="eastAsia" w:ascii="仿宋_GB2312" w:hAnsi="仿宋" w:eastAsia="仿宋_GB2312" w:cs="仿宋_GB2312"/>
          <w:kern w:val="0"/>
          <w:sz w:val="32"/>
          <w:szCs w:val="32"/>
        </w:rPr>
        <w:t>万元、政府采购服务支出</w:t>
      </w:r>
      <w:r>
        <w:rPr>
          <w:rFonts w:hint="eastAsia" w:ascii="仿宋_GB2312" w:hAnsi="仿宋" w:eastAsia="仿宋_GB2312" w:cs="仿宋_GB2312"/>
          <w:sz w:val="32"/>
          <w:szCs w:val="32"/>
        </w:rPr>
        <w:t>0</w:t>
      </w:r>
      <w:r>
        <w:rPr>
          <w:rFonts w:hint="eastAsia" w:ascii="仿宋_GB2312" w:hAnsi="仿宋" w:eastAsia="仿宋_GB2312" w:cs="仿宋_GB2312"/>
          <w:kern w:val="0"/>
          <w:sz w:val="32"/>
          <w:szCs w:val="32"/>
        </w:rPr>
        <w:t>万元。</w:t>
      </w:r>
    </w:p>
    <w:p>
      <w:pPr>
        <w:tabs>
          <w:tab w:val="left" w:pos="7513"/>
        </w:tabs>
        <w:adjustRightInd w:val="0"/>
        <w:snapToGrid w:val="0"/>
        <w:spacing w:line="520" w:lineRule="exact"/>
        <w:ind w:firstLine="704" w:firstLineChars="220"/>
        <w:rPr>
          <w:rFonts w:ascii="仿宋_GB2312" w:hAnsi="黑体" w:eastAsia="仿宋_GB2312" w:cs="Times New Roman"/>
          <w:sz w:val="32"/>
          <w:szCs w:val="32"/>
        </w:rPr>
      </w:pPr>
      <w:r>
        <w:rPr>
          <w:rFonts w:hint="eastAsia" w:ascii="仿宋_GB2312" w:hAnsi="楷体" w:eastAsia="仿宋_GB2312"/>
          <w:sz w:val="32"/>
          <w:szCs w:val="32"/>
        </w:rPr>
        <w:t>（三）国有资产占用使用情况</w:t>
      </w:r>
    </w:p>
    <w:p>
      <w:pPr>
        <w:tabs>
          <w:tab w:val="left" w:pos="7513"/>
        </w:tabs>
        <w:adjustRightInd w:val="0"/>
        <w:snapToGrid w:val="0"/>
        <w:spacing w:line="520" w:lineRule="exact"/>
        <w:ind w:firstLine="704" w:firstLineChars="220"/>
        <w:rPr>
          <w:rFonts w:ascii="仿宋_GB2312" w:hAnsi="仿宋" w:eastAsia="仿宋_GB2312" w:cs="仿宋_GB2312"/>
          <w:kern w:val="0"/>
          <w:sz w:val="32"/>
          <w:szCs w:val="32"/>
        </w:rPr>
      </w:pPr>
      <w:r>
        <w:rPr>
          <w:rFonts w:hint="eastAsia" w:ascii="仿宋_GB2312" w:hAnsi="仿宋" w:eastAsia="仿宋_GB2312" w:cs="仿宋_GB2312"/>
          <w:kern w:val="0"/>
          <w:sz w:val="32"/>
          <w:szCs w:val="32"/>
        </w:rPr>
        <w:t>截至</w:t>
      </w:r>
      <w:r>
        <w:rPr>
          <w:rFonts w:hint="eastAsia" w:ascii="仿宋_GB2312" w:hAnsi="仿宋" w:eastAsia="仿宋_GB2312"/>
          <w:sz w:val="32"/>
          <w:szCs w:val="32"/>
        </w:rPr>
        <w:t>2017</w:t>
      </w:r>
      <w:r>
        <w:rPr>
          <w:rFonts w:hint="eastAsia" w:ascii="仿宋_GB2312" w:hAnsi="仿宋" w:eastAsia="仿宋_GB2312" w:cs="仿宋_GB2312"/>
          <w:kern w:val="0"/>
          <w:sz w:val="32"/>
          <w:szCs w:val="32"/>
        </w:rPr>
        <w:t>年12月31日，本部门共有车辆</w:t>
      </w:r>
      <w:r>
        <w:rPr>
          <w:rFonts w:hint="eastAsia" w:ascii="仿宋_GB2312" w:hAnsi="仿宋" w:eastAsia="仿宋_GB2312" w:cs="仿宋_GB2312"/>
          <w:sz w:val="32"/>
          <w:szCs w:val="32"/>
        </w:rPr>
        <w:t>0</w:t>
      </w:r>
      <w:r>
        <w:rPr>
          <w:rFonts w:hint="eastAsia" w:ascii="仿宋_GB2312" w:hAnsi="仿宋" w:eastAsia="仿宋_GB2312" w:cs="仿宋_GB2312"/>
          <w:kern w:val="0"/>
          <w:sz w:val="32"/>
          <w:szCs w:val="32"/>
        </w:rPr>
        <w:t xml:space="preserve">辆， </w:t>
      </w:r>
    </w:p>
    <w:p>
      <w:pPr>
        <w:tabs>
          <w:tab w:val="left" w:pos="7513"/>
        </w:tabs>
        <w:adjustRightInd w:val="0"/>
        <w:snapToGrid w:val="0"/>
        <w:spacing w:line="520" w:lineRule="exact"/>
        <w:ind w:firstLine="704" w:firstLineChars="220"/>
        <w:rPr>
          <w:rFonts w:ascii="仿宋_GB2312" w:hAnsi="楷体" w:eastAsia="仿宋_GB2312" w:cs="仿宋_GB2312"/>
          <w:bCs/>
          <w:sz w:val="32"/>
          <w:szCs w:val="32"/>
        </w:rPr>
      </w:pPr>
      <w:r>
        <w:rPr>
          <w:rFonts w:hint="eastAsia" w:ascii="仿宋_GB2312" w:hAnsi="楷体" w:eastAsia="仿宋_GB2312"/>
          <w:sz w:val="32"/>
          <w:szCs w:val="32"/>
        </w:rPr>
        <w:t>（四）</w:t>
      </w:r>
      <w:r>
        <w:rPr>
          <w:rFonts w:hint="eastAsia" w:ascii="仿宋_GB2312" w:hAnsi="楷体" w:eastAsia="仿宋_GB2312" w:cs="仿宋_GB2312"/>
          <w:bCs/>
          <w:sz w:val="32"/>
          <w:szCs w:val="32"/>
        </w:rPr>
        <w:t>项目绩效自评报告</w:t>
      </w:r>
    </w:p>
    <w:p>
      <w:pPr>
        <w:spacing w:line="520" w:lineRule="exact"/>
        <w:ind w:firstLine="640" w:firstLineChars="200"/>
        <w:rPr>
          <w:rFonts w:ascii="仿宋_GB2312" w:hAnsi="仿宋" w:eastAsia="仿宋_GB2312" w:cs="仿宋_GB2312"/>
          <w:sz w:val="32"/>
          <w:szCs w:val="32"/>
        </w:rPr>
      </w:pPr>
      <w:r>
        <w:rPr>
          <w:rFonts w:hint="eastAsia" w:ascii="仿宋_GB2312" w:hAnsi="仿宋_GB2312" w:eastAsia="仿宋_GB2312" w:cs="仿宋_GB2312"/>
          <w:sz w:val="32"/>
          <w:szCs w:val="32"/>
        </w:rPr>
        <w:t>2017年预算安排专项经费18.67</w:t>
      </w:r>
      <w:r>
        <w:rPr>
          <w:rFonts w:hint="eastAsia" w:ascii="仿宋_GB2312" w:hAnsi="仿宋" w:eastAsia="仿宋_GB2312" w:cs="仿宋_GB2312"/>
          <w:sz w:val="32"/>
          <w:szCs w:val="32"/>
        </w:rPr>
        <w:t>万元，其中：1.</w:t>
      </w:r>
      <w:r>
        <w:rPr>
          <w:rFonts w:hint="eastAsia" w:ascii="仿宋_GB2312" w:eastAsia="仿宋_GB2312"/>
          <w:sz w:val="32"/>
          <w:szCs w:val="32"/>
        </w:rPr>
        <w:t xml:space="preserve"> </w:t>
      </w:r>
      <w:r>
        <w:rPr>
          <w:rFonts w:hint="eastAsia" w:ascii="仿宋_GB2312" w:hAnsi="仿宋" w:eastAsia="仿宋_GB2312" w:cs="仿宋_GB2312"/>
          <w:sz w:val="32"/>
          <w:szCs w:val="32"/>
        </w:rPr>
        <w:t>事业单位登记年审工作及政务和公益专业中文域名注册及标识管理7.17万元；项目实施有利于全区400多个机关事业单位正常运转，总体目标已完成。2.机构编制管理工作5万元；项目实施有利于全区400多个机关事业单位正常运转。3.</w:t>
      </w:r>
      <w:r>
        <w:rPr>
          <w:rFonts w:hint="eastAsia" w:ascii="仿宋_GB2312" w:eastAsia="仿宋_GB2312"/>
          <w:sz w:val="32"/>
          <w:szCs w:val="32"/>
        </w:rPr>
        <w:t xml:space="preserve"> </w:t>
      </w:r>
      <w:r>
        <w:rPr>
          <w:rFonts w:hint="eastAsia" w:ascii="仿宋_GB2312" w:hAnsi="仿宋" w:eastAsia="仿宋_GB2312" w:cs="仿宋_GB2312"/>
          <w:sz w:val="32"/>
          <w:szCs w:val="32"/>
        </w:rPr>
        <w:t>业务经费及行政审批制度改革经费5万元；3个项目较好的完成预定的绩效目标，在投入、产出和效益等方面取得了一定的成效。</w:t>
      </w:r>
    </w:p>
    <w:p>
      <w:pPr>
        <w:spacing w:line="52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在绩效评价过程，存在的问题主要有：1、登记管理局近年新增域名注册和红页管理业务，需要相当的专业知识，部分单位存在经办人员不熟悉业务、不清楚流程。建议举办专门的业务培训，提高办事效率。2、资金投入不足。我办的工作任务逐年增多，资金需求量大，虽然每年预算经费的足额到账，仍无法满足工作任务的进度，造成资金缺口较大。建议加强项目的财政预算，加大资金的拨付力度3.行政审批制度改革工作任务重，经办人员理解各不相同，建议统一安排相关人员进行业务培训，提高工作效率。4、行政审批制度改革工作涉及面广、需组织人事管理、财政管理协作配合和综合约束，建议部门之间信息共享，共同做好行政审批制度改革工作。</w:t>
      </w:r>
    </w:p>
    <w:p>
      <w:pPr>
        <w:spacing w:line="52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有关整改建议主要有：1.是缩短各个环节办理时限，提高办事效率；2.是加强具体经办人员的业务培训；3.是加强财政支出绩效工作管理，强化绩效工作理念，提升绩效评价水平；4.是在评价指标体系方面进一步优化、建立起更为合理的评价指标体系；5.是加强财务信息方面的管理，进一步规范资金管理制度，提高资金使用率；</w:t>
      </w:r>
    </w:p>
    <w:p>
      <w:pPr>
        <w:autoSpaceDE w:val="0"/>
        <w:autoSpaceDN w:val="0"/>
        <w:adjustRightInd w:val="0"/>
        <w:spacing w:line="520" w:lineRule="exact"/>
        <w:ind w:firstLine="640" w:firstLineChars="200"/>
        <w:jc w:val="left"/>
        <w:rPr>
          <w:rFonts w:ascii="黑体" w:hAnsi="黑体" w:eastAsia="黑体" w:cs="仿宋_GB2312"/>
          <w:kern w:val="0"/>
          <w:sz w:val="32"/>
          <w:szCs w:val="32"/>
        </w:rPr>
      </w:pPr>
      <w:r>
        <w:rPr>
          <w:rFonts w:hint="eastAsia" w:ascii="黑体" w:hAnsi="黑体" w:eastAsia="黑体" w:cs="仿宋_GB2312"/>
          <w:kern w:val="0"/>
          <w:sz w:val="32"/>
          <w:szCs w:val="32"/>
        </w:rPr>
        <w:t>十、名词解释</w:t>
      </w:r>
    </w:p>
    <w:p>
      <w:pPr>
        <w:spacing w:line="520" w:lineRule="exact"/>
        <w:ind w:firstLine="707" w:firstLineChars="221"/>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 xml:space="preserve">（一）财政拨款收入：指区级财政当年拨付的资金。 </w:t>
      </w:r>
    </w:p>
    <w:p>
      <w:pPr>
        <w:spacing w:line="520" w:lineRule="exact"/>
        <w:ind w:firstLine="707" w:firstLineChars="221"/>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（二）事业收入：指事业单位开展专业业务活动及辅助活动所取得的收入。</w:t>
      </w:r>
    </w:p>
    <w:p>
      <w:pPr>
        <w:spacing w:line="520" w:lineRule="exact"/>
        <w:ind w:firstLine="707" w:firstLineChars="221"/>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 xml:space="preserve">（三）经营收入：指事业单位在专业业务活动及其辅助活动之外开展非独立核算经营活动取得的收入。 </w:t>
      </w:r>
    </w:p>
    <w:p>
      <w:pPr>
        <w:spacing w:line="520" w:lineRule="exact"/>
        <w:ind w:firstLine="707" w:firstLineChars="221"/>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 xml:space="preserve">（四）其他收入：指除上述“财政拨款收入”、“事业收入”、“经营收入”等以外的收入。主要是按规定动用的售房收入、存款利息收入等。 </w:t>
      </w:r>
    </w:p>
    <w:p>
      <w:pPr>
        <w:spacing w:line="520" w:lineRule="exact"/>
        <w:ind w:firstLine="707" w:firstLineChars="221"/>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spacing w:line="520" w:lineRule="exact"/>
        <w:ind w:firstLine="707" w:firstLineChars="221"/>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（六）年初结转和结余：指以前年度尚未完成、结转到本年按有关规定继续使用的资金。</w:t>
      </w:r>
    </w:p>
    <w:p>
      <w:pPr>
        <w:pStyle w:val="5"/>
        <w:spacing w:line="520" w:lineRule="exact"/>
        <w:ind w:firstLine="640"/>
        <w:rPr>
          <w:rFonts w:ascii="仿宋_GB2312" w:hAnsi="仿宋" w:eastAsia="仿宋_GB2312"/>
          <w:sz w:val="32"/>
          <w:szCs w:val="32"/>
        </w:rPr>
      </w:pPr>
      <w:r>
        <w:rPr>
          <w:rFonts w:hint="eastAsia" w:ascii="仿宋_GB2312" w:hAnsi="仿宋" w:eastAsia="仿宋_GB2312"/>
          <w:sz w:val="32"/>
          <w:szCs w:val="32"/>
        </w:rPr>
        <w:t xml:space="preserve">（七）结余分配：指事业单位按规定提取的职工福利基金、事业基金和缴纳的所得税，以及建设单位按规定应交回的基本建设竣工项目结余资金。 </w:t>
      </w:r>
    </w:p>
    <w:p>
      <w:pPr>
        <w:pStyle w:val="5"/>
        <w:spacing w:line="520" w:lineRule="exact"/>
        <w:ind w:firstLine="640"/>
        <w:rPr>
          <w:rFonts w:ascii="仿宋_GB2312" w:hAnsi="仿宋" w:eastAsia="仿宋_GB2312"/>
          <w:sz w:val="32"/>
          <w:szCs w:val="32"/>
        </w:rPr>
      </w:pPr>
      <w:r>
        <w:rPr>
          <w:rFonts w:hint="eastAsia" w:ascii="仿宋_GB2312" w:hAnsi="仿宋" w:eastAsia="仿宋_GB2312"/>
          <w:sz w:val="32"/>
          <w:szCs w:val="32"/>
        </w:rPr>
        <w:t xml:space="preserve">（八）年末结转和结余：指本年度或以前年度预算安排、因客观条件发生变化无法按原计划实施，需延迟到以后年度按有关规定继续使用的资金。 </w:t>
      </w:r>
    </w:p>
    <w:p>
      <w:pPr>
        <w:pStyle w:val="5"/>
        <w:spacing w:line="520" w:lineRule="exact"/>
        <w:ind w:firstLine="640"/>
        <w:rPr>
          <w:rFonts w:ascii="仿宋_GB2312" w:hAnsi="仿宋" w:eastAsia="仿宋_GB2312"/>
          <w:sz w:val="32"/>
          <w:szCs w:val="32"/>
        </w:rPr>
      </w:pPr>
      <w:r>
        <w:rPr>
          <w:rFonts w:hint="eastAsia" w:ascii="仿宋_GB2312" w:hAnsi="仿宋" w:eastAsia="仿宋_GB2312"/>
          <w:sz w:val="32"/>
          <w:szCs w:val="32"/>
        </w:rPr>
        <w:t xml:space="preserve">（九）基本支出：指为保障机构正常运转、完成日常工作任务而发生的人员支出和公用支出。 </w:t>
      </w:r>
    </w:p>
    <w:p>
      <w:pPr>
        <w:pStyle w:val="5"/>
        <w:spacing w:line="520" w:lineRule="exact"/>
        <w:ind w:firstLine="640"/>
        <w:rPr>
          <w:rFonts w:ascii="仿宋_GB2312" w:hAnsi="仿宋" w:eastAsia="仿宋_GB2312"/>
          <w:sz w:val="32"/>
          <w:szCs w:val="32"/>
        </w:rPr>
      </w:pPr>
      <w:r>
        <w:rPr>
          <w:rFonts w:hint="eastAsia" w:ascii="仿宋_GB2312" w:hAnsi="仿宋" w:eastAsia="仿宋_GB2312"/>
          <w:sz w:val="32"/>
          <w:szCs w:val="32"/>
        </w:rPr>
        <w:t xml:space="preserve">（十）项目支出：指在基本支出之外为完成特定行政任务和事业发展目标所发生的支出。 </w:t>
      </w:r>
    </w:p>
    <w:p>
      <w:pPr>
        <w:pStyle w:val="5"/>
        <w:spacing w:line="520" w:lineRule="exact"/>
        <w:ind w:firstLine="640"/>
        <w:rPr>
          <w:rFonts w:ascii="仿宋_GB2312" w:hAnsi="仿宋" w:eastAsia="仿宋_GB2312"/>
          <w:sz w:val="32"/>
          <w:szCs w:val="32"/>
        </w:rPr>
      </w:pPr>
      <w:r>
        <w:rPr>
          <w:rFonts w:hint="eastAsia" w:ascii="仿宋_GB2312" w:hAnsi="仿宋" w:eastAsia="仿宋_GB2312"/>
          <w:sz w:val="32"/>
          <w:szCs w:val="32"/>
        </w:rPr>
        <w:t xml:space="preserve">（十一）经营支出：指事业单位在专业业务活动及其辅助活动之外开展非独立核算经营活动发生的支出。 </w:t>
      </w:r>
    </w:p>
    <w:p>
      <w:pPr>
        <w:pStyle w:val="5"/>
        <w:spacing w:line="520" w:lineRule="exact"/>
        <w:ind w:firstLine="640"/>
        <w:rPr>
          <w:rFonts w:ascii="仿宋_GB2312" w:hAnsi="仿宋" w:eastAsia="仿宋_GB2312"/>
          <w:sz w:val="32"/>
          <w:szCs w:val="32"/>
        </w:rPr>
      </w:pPr>
      <w:r>
        <w:rPr>
          <w:rFonts w:hint="eastAsia" w:ascii="仿宋_GB2312" w:hAnsi="仿宋" w:eastAsia="仿宋_GB2312"/>
          <w:sz w:val="32"/>
          <w:szCs w:val="32"/>
        </w:rPr>
        <w:t xml:space="preserve">（十二）“三公”经费：纳入区级财政预决算管理的“三公”经费，是指区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20" w:lineRule="exact"/>
        <w:ind w:firstLine="640" w:firstLineChars="200"/>
        <w:rPr>
          <w:rFonts w:ascii="仿宋_GB2312" w:hAnsi="仿宋" w:eastAsia="仿宋_GB2312"/>
          <w:sz w:val="32"/>
          <w:szCs w:val="32"/>
        </w:rPr>
      </w:pPr>
    </w:p>
    <w:p>
      <w:pPr>
        <w:spacing w:line="520" w:lineRule="exact"/>
        <w:ind w:firstLine="584" w:firstLineChars="200"/>
        <w:rPr>
          <w:rFonts w:ascii="仿宋_GB2312" w:hAnsi="仿宋" w:eastAsia="仿宋_GB2312"/>
          <w:spacing w:val="-14"/>
          <w:sz w:val="32"/>
          <w:szCs w:val="32"/>
        </w:rPr>
      </w:pPr>
      <w:r>
        <w:rPr>
          <w:rFonts w:hint="eastAsia" w:ascii="仿宋_GB2312" w:hAnsi="仿宋" w:eastAsia="仿宋_GB2312"/>
          <w:spacing w:val="-14"/>
          <w:sz w:val="32"/>
          <w:szCs w:val="32"/>
        </w:rPr>
        <w:t>附表：4-1 2017年度收支决算总表</w:t>
      </w:r>
    </w:p>
    <w:p>
      <w:pPr>
        <w:spacing w:line="520" w:lineRule="exact"/>
        <w:ind w:firstLine="1460" w:firstLineChars="500"/>
        <w:rPr>
          <w:rFonts w:ascii="仿宋_GB2312" w:hAnsi="仿宋" w:eastAsia="仿宋_GB2312"/>
          <w:spacing w:val="-14"/>
          <w:sz w:val="32"/>
          <w:szCs w:val="32"/>
        </w:rPr>
      </w:pPr>
      <w:r>
        <w:rPr>
          <w:rFonts w:hint="eastAsia" w:ascii="仿宋_GB2312" w:hAnsi="仿宋" w:eastAsia="仿宋_GB2312"/>
          <w:spacing w:val="-14"/>
          <w:sz w:val="32"/>
          <w:szCs w:val="32"/>
        </w:rPr>
        <w:t>4-2 2017年度收入决算表</w:t>
      </w:r>
    </w:p>
    <w:p>
      <w:pPr>
        <w:spacing w:line="520" w:lineRule="exact"/>
        <w:ind w:firstLine="1460" w:firstLineChars="500"/>
        <w:rPr>
          <w:rFonts w:ascii="仿宋_GB2312" w:hAnsi="仿宋" w:eastAsia="仿宋_GB2312"/>
          <w:spacing w:val="-14"/>
          <w:sz w:val="32"/>
          <w:szCs w:val="32"/>
        </w:rPr>
      </w:pPr>
      <w:r>
        <w:rPr>
          <w:rFonts w:hint="eastAsia" w:ascii="仿宋_GB2312" w:hAnsi="仿宋" w:eastAsia="仿宋_GB2312"/>
          <w:spacing w:val="-14"/>
          <w:sz w:val="32"/>
          <w:szCs w:val="32"/>
        </w:rPr>
        <w:t>4-3 2017年度支出决算表</w:t>
      </w:r>
    </w:p>
    <w:p>
      <w:pPr>
        <w:spacing w:line="520" w:lineRule="exact"/>
        <w:ind w:firstLine="1460" w:firstLineChars="500"/>
        <w:rPr>
          <w:rFonts w:ascii="仿宋_GB2312" w:hAnsi="仿宋" w:eastAsia="仿宋_GB2312"/>
          <w:spacing w:val="-14"/>
          <w:sz w:val="32"/>
          <w:szCs w:val="32"/>
        </w:rPr>
      </w:pPr>
      <w:r>
        <w:rPr>
          <w:rFonts w:hint="eastAsia" w:ascii="仿宋_GB2312" w:hAnsi="仿宋" w:eastAsia="仿宋_GB2312"/>
          <w:spacing w:val="-14"/>
          <w:sz w:val="32"/>
          <w:szCs w:val="32"/>
        </w:rPr>
        <w:t>4-4 2017年度财政拨款收支决算总表</w:t>
      </w:r>
    </w:p>
    <w:p>
      <w:pPr>
        <w:spacing w:line="520" w:lineRule="exact"/>
        <w:ind w:firstLine="1460" w:firstLineChars="500"/>
        <w:rPr>
          <w:rFonts w:ascii="仿宋_GB2312" w:hAnsi="仿宋" w:eastAsia="仿宋_GB2312"/>
          <w:spacing w:val="-14"/>
          <w:sz w:val="32"/>
          <w:szCs w:val="32"/>
        </w:rPr>
      </w:pPr>
      <w:r>
        <w:rPr>
          <w:rFonts w:hint="eastAsia" w:ascii="仿宋_GB2312" w:hAnsi="仿宋" w:eastAsia="仿宋_GB2312"/>
          <w:spacing w:val="-14"/>
          <w:sz w:val="32"/>
          <w:szCs w:val="32"/>
        </w:rPr>
        <w:t>4-5 2017年度一般公共财政拨款支出决算表</w:t>
      </w:r>
    </w:p>
    <w:p>
      <w:pPr>
        <w:spacing w:line="520" w:lineRule="exact"/>
        <w:ind w:firstLine="1460" w:firstLineChars="500"/>
        <w:rPr>
          <w:rFonts w:ascii="仿宋_GB2312" w:hAnsi="仿宋" w:eastAsia="仿宋_GB2312"/>
          <w:spacing w:val="-14"/>
          <w:sz w:val="32"/>
          <w:szCs w:val="32"/>
        </w:rPr>
      </w:pPr>
      <w:r>
        <w:rPr>
          <w:rFonts w:hint="eastAsia" w:ascii="仿宋_GB2312" w:hAnsi="仿宋" w:eastAsia="仿宋_GB2312"/>
          <w:spacing w:val="-14"/>
          <w:sz w:val="32"/>
          <w:szCs w:val="32"/>
        </w:rPr>
        <w:t>4-6 2017年度一般公共预算支出经济分类决算情况表</w:t>
      </w:r>
    </w:p>
    <w:p>
      <w:pPr>
        <w:spacing w:line="520" w:lineRule="exact"/>
        <w:ind w:firstLine="1496" w:firstLineChars="550"/>
        <w:rPr>
          <w:rFonts w:ascii="仿宋_GB2312" w:hAnsi="仿宋" w:eastAsia="仿宋_GB2312"/>
          <w:spacing w:val="-24"/>
          <w:sz w:val="32"/>
          <w:szCs w:val="32"/>
        </w:rPr>
      </w:pPr>
      <w:r>
        <w:rPr>
          <w:rFonts w:hint="eastAsia" w:ascii="仿宋_GB2312" w:hAnsi="仿宋" w:eastAsia="仿宋_GB2312"/>
          <w:spacing w:val="-24"/>
          <w:sz w:val="32"/>
          <w:szCs w:val="32"/>
        </w:rPr>
        <w:t>4-7 2017年度一般公共预算基本支出经济分类决算情况表</w:t>
      </w:r>
    </w:p>
    <w:p>
      <w:pPr>
        <w:spacing w:line="520" w:lineRule="exact"/>
        <w:ind w:firstLine="1460" w:firstLineChars="500"/>
        <w:rPr>
          <w:rFonts w:ascii="仿宋_GB2312" w:hAnsi="仿宋" w:eastAsia="仿宋_GB2312"/>
          <w:spacing w:val="-14"/>
          <w:sz w:val="32"/>
          <w:szCs w:val="32"/>
        </w:rPr>
      </w:pPr>
      <w:r>
        <w:rPr>
          <w:rFonts w:hint="eastAsia" w:ascii="仿宋_GB2312" w:hAnsi="仿宋" w:eastAsia="仿宋_GB2312"/>
          <w:spacing w:val="-14"/>
          <w:sz w:val="32"/>
          <w:szCs w:val="32"/>
        </w:rPr>
        <w:t>4-8 2017年度政府性基金支出决算表</w:t>
      </w:r>
    </w:p>
    <w:p>
      <w:pPr>
        <w:spacing w:line="520" w:lineRule="exact"/>
        <w:ind w:firstLine="1460" w:firstLineChars="500"/>
        <w:rPr>
          <w:rFonts w:ascii="仿宋_GB2312" w:hAnsi="仿宋" w:eastAsia="仿宋_GB2312"/>
          <w:spacing w:val="-14"/>
          <w:sz w:val="32"/>
          <w:szCs w:val="32"/>
        </w:rPr>
      </w:pPr>
      <w:r>
        <w:rPr>
          <w:rFonts w:hint="eastAsia" w:ascii="仿宋_GB2312" w:hAnsi="仿宋" w:eastAsia="仿宋_GB2312"/>
          <w:spacing w:val="-14"/>
          <w:sz w:val="32"/>
          <w:szCs w:val="32"/>
        </w:rPr>
        <w:t>4-9 2017年度部门决算相关信息统计表</w:t>
      </w:r>
    </w:p>
    <w:p>
      <w:pPr>
        <w:tabs>
          <w:tab w:val="left" w:pos="6140"/>
        </w:tabs>
        <w:spacing w:line="520" w:lineRule="exact"/>
        <w:ind w:firstLine="1460" w:firstLineChars="500"/>
        <w:rPr>
          <w:rFonts w:ascii="仿宋_GB2312" w:hAnsi="仿宋" w:eastAsia="仿宋_GB2312"/>
          <w:spacing w:val="-14"/>
          <w:sz w:val="32"/>
          <w:szCs w:val="32"/>
        </w:rPr>
      </w:pPr>
      <w:r>
        <w:rPr>
          <w:rFonts w:hint="eastAsia" w:ascii="仿宋_GB2312" w:hAnsi="仿宋" w:eastAsia="仿宋_GB2312"/>
          <w:spacing w:val="-14"/>
          <w:sz w:val="32"/>
          <w:szCs w:val="32"/>
        </w:rPr>
        <w:t>4-10 2017年度政府采购情况表</w:t>
      </w:r>
      <w:r>
        <w:rPr>
          <w:rFonts w:hint="eastAsia" w:ascii="仿宋_GB2312" w:hAnsi="仿宋" w:eastAsia="仿宋_GB2312"/>
          <w:spacing w:val="-14"/>
          <w:sz w:val="32"/>
          <w:szCs w:val="32"/>
        </w:rPr>
        <w:tab/>
      </w:r>
    </w:p>
    <w:p/>
    <w:sectPr>
      <w:footerReference r:id="rId4" w:type="default"/>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fldChar w:fldCharType="begin"/>
    </w:r>
    <w:r>
      <w:instrText xml:space="preserve"> PAGE   \* MERGEFORMAT </w:instrText>
    </w:r>
    <w:r>
      <w:fldChar w:fldCharType="separate"/>
    </w:r>
    <w:r>
      <w:rPr>
        <w:lang w:val="zh-CN"/>
      </w:rPr>
      <w:t>7</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5">
    <w:name w:val="Default"/>
    <w:uiPriority w:val="0"/>
    <w:pPr>
      <w:widowControl w:val="0"/>
      <w:autoSpaceDE w:val="0"/>
      <w:autoSpaceDN w:val="0"/>
      <w:adjustRightInd w:val="0"/>
    </w:pPr>
    <w:rPr>
      <w:rFonts w:ascii="仿宋" w:eastAsia="仿宋" w:cs="仿宋"/>
      <w:color w:val="000000"/>
      <w:kern w:val="0"/>
      <w:sz w:val="24"/>
      <w:szCs w:val="24"/>
    </w:rPr>
  </w:style>
  <w:style w:type="character" w:customStyle="1" w:styleId="6">
    <w:name w:val="页眉 Char Char"/>
    <w:basedOn w:val="4"/>
    <w:link w:val="3"/>
    <w:uiPriority w:val="99"/>
    <w:rPr>
      <w:sz w:val="18"/>
      <w:szCs w:val="18"/>
    </w:rPr>
  </w:style>
  <w:style w:type="character" w:customStyle="1" w:styleId="7">
    <w:name w:val="页脚 Char Char"/>
    <w:basedOn w:val="4"/>
    <w:link w:val="2"/>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783</Words>
  <Characters>4467</Characters>
  <Lines>37</Lines>
  <Paragraphs>10</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2018-08-02T02:48:00Z</dcterms:created>
  <dc:creator>微软用户</dc:creator>
  <cp:lastModifiedBy>zhang</cp:lastModifiedBy>
  <cp:lastPrinted>2018-09-03T00:33:00Z</cp:lastPrinted>
  <dcterms:modified xsi:type="dcterms:W3CDTF">2024-01-26T07:39:50Z</dcterms:modified>
  <dc:title>2017年度新罗区委机构编制委员会办公室决算说明</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