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CD" w:rsidRDefault="004E24CD" w:rsidP="002C62B4">
      <w:pPr>
        <w:spacing w:line="560" w:lineRule="exact"/>
        <w:jc w:val="left"/>
        <w:rPr>
          <w:rFonts w:ascii="方正小标宋简体" w:eastAsia="方正小标宋简体" w:hAnsi="仿宋"/>
          <w:bCs/>
          <w:sz w:val="28"/>
          <w:szCs w:val="28"/>
        </w:rPr>
      </w:pPr>
      <w:r w:rsidRPr="00196681">
        <w:rPr>
          <w:rFonts w:ascii="方正小标宋简体" w:eastAsia="方正小标宋简体" w:hAnsi="仿宋" w:hint="eastAsia"/>
          <w:bCs/>
          <w:sz w:val="28"/>
          <w:szCs w:val="28"/>
        </w:rPr>
        <w:t>附件</w:t>
      </w:r>
      <w:r w:rsidRPr="00196681">
        <w:rPr>
          <w:rFonts w:ascii="方正小标宋简体" w:eastAsia="方正小标宋简体" w:hAnsi="仿宋"/>
          <w:bCs/>
          <w:sz w:val="28"/>
          <w:szCs w:val="28"/>
        </w:rPr>
        <w:t>1</w:t>
      </w:r>
    </w:p>
    <w:p w:rsidR="004E24CD" w:rsidRPr="00196681" w:rsidRDefault="004E24CD" w:rsidP="002C62B4">
      <w:pPr>
        <w:spacing w:line="560" w:lineRule="exact"/>
        <w:jc w:val="left"/>
        <w:rPr>
          <w:rFonts w:ascii="方正小标宋简体" w:eastAsia="方正小标宋简体" w:hAnsi="仿宋"/>
          <w:bCs/>
          <w:sz w:val="28"/>
          <w:szCs w:val="28"/>
        </w:rPr>
      </w:pPr>
    </w:p>
    <w:p w:rsidR="004E24CD" w:rsidRDefault="004E24CD" w:rsidP="002C62B4">
      <w:pPr>
        <w:spacing w:line="560" w:lineRule="exact"/>
        <w:jc w:val="center"/>
        <w:rPr>
          <w:rFonts w:ascii="方正小标宋简体" w:eastAsia="方正小标宋简体" w:hAnsi="仿宋"/>
          <w:bCs/>
          <w:sz w:val="44"/>
          <w:szCs w:val="44"/>
        </w:rPr>
      </w:pPr>
      <w:r>
        <w:rPr>
          <w:rFonts w:ascii="方正小标宋简体" w:eastAsia="方正小标宋简体" w:hAnsi="仿宋"/>
          <w:bCs/>
          <w:sz w:val="44"/>
          <w:szCs w:val="44"/>
        </w:rPr>
        <w:t>20</w:t>
      </w:r>
      <w:r w:rsidR="00A65277">
        <w:rPr>
          <w:rFonts w:ascii="方正小标宋简体" w:eastAsia="方正小标宋简体" w:hAnsi="仿宋" w:hint="eastAsia"/>
          <w:bCs/>
          <w:sz w:val="44"/>
          <w:szCs w:val="44"/>
        </w:rPr>
        <w:t>20</w:t>
      </w:r>
      <w:r w:rsidRPr="005911B6">
        <w:rPr>
          <w:rFonts w:ascii="方正小标宋简体" w:eastAsia="方正小标宋简体" w:hAnsi="仿宋" w:hint="eastAsia"/>
          <w:bCs/>
          <w:sz w:val="44"/>
          <w:szCs w:val="44"/>
        </w:rPr>
        <w:t>年新罗区本级决算（草案）</w:t>
      </w:r>
    </w:p>
    <w:p w:rsidR="004E24CD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880"/>
        <w:rPr>
          <w:rFonts w:ascii="方正小标宋简体" w:eastAsia="方正小标宋简体" w:hAnsi="仿宋"/>
          <w:bCs/>
          <w:sz w:val="44"/>
          <w:szCs w:val="44"/>
        </w:rPr>
      </w:pP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  <w:u w:color="000000"/>
        </w:rPr>
      </w:pPr>
      <w:r w:rsidRPr="002C62B4">
        <w:rPr>
          <w:rFonts w:ascii="黑体" w:eastAsia="黑体" w:hAnsi="黑体" w:hint="eastAsia"/>
          <w:kern w:val="0"/>
          <w:sz w:val="32"/>
          <w:szCs w:val="32"/>
          <w:u w:color="000000"/>
        </w:rPr>
        <w:t>一、</w:t>
      </w:r>
      <w:r w:rsidRPr="002C62B4">
        <w:rPr>
          <w:rFonts w:ascii="黑体" w:eastAsia="黑体" w:hAnsi="黑体"/>
          <w:kern w:val="0"/>
          <w:sz w:val="32"/>
          <w:szCs w:val="32"/>
          <w:u w:color="000000"/>
        </w:rPr>
        <w:t>20</w:t>
      </w:r>
      <w:r w:rsidR="00A65277">
        <w:rPr>
          <w:rFonts w:ascii="黑体" w:eastAsia="黑体" w:hAnsi="黑体" w:hint="eastAsia"/>
          <w:kern w:val="0"/>
          <w:sz w:val="32"/>
          <w:szCs w:val="32"/>
          <w:u w:color="000000"/>
        </w:rPr>
        <w:t>20</w:t>
      </w:r>
      <w:r w:rsidRPr="002C62B4">
        <w:rPr>
          <w:rFonts w:ascii="黑体" w:eastAsia="黑体" w:hAnsi="黑体" w:hint="eastAsia"/>
          <w:kern w:val="0"/>
          <w:sz w:val="32"/>
          <w:szCs w:val="32"/>
          <w:u w:color="000000"/>
        </w:rPr>
        <w:t>年财政收支决算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（一）全区一般公共预算收支决算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1.</w:t>
      </w:r>
      <w:r w:rsidRPr="002C62B4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全区一般公共预算收入决算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）全区地方一般公共预算收入</w:t>
      </w:r>
      <w:r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42907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下降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0.2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）上级补助收入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217169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万元。其中：返还性收入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16955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万元，一般性转移支付收入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145470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万元，专项转移支付收入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54744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）债务（转贷）收入</w:t>
      </w:r>
      <w:r w:rsidR="004644FA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8827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4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）上年结余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16548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5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）调入预算稳定调节基金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2729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6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）调入资金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102420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2.</w:t>
      </w:r>
      <w:r w:rsidRPr="002C62B4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全区一般公共预算支出决算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）全区一般公共预算支出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488687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万元（含上级专款、上年结转和新增地方政府债券等支出），比上年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增长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6.7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）上解上级支出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68674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）债务还本支出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18655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4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）补充预算稳定调节基金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4517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352AA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lastRenderedPageBreak/>
        <w:t>（</w:t>
      </w:r>
      <w:r>
        <w:rPr>
          <w:rFonts w:ascii="Times New Roman" w:eastAsia="仿宋_GB2312" w:hAnsi="Times New Roman"/>
          <w:kern w:val="0"/>
          <w:sz w:val="32"/>
          <w:szCs w:val="32"/>
          <w:u w:color="000000"/>
        </w:rPr>
        <w:t>5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）调出资金</w:t>
      </w:r>
      <w:r w:rsidR="004644F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4794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BF21C5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BF21C5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3.</w:t>
      </w:r>
      <w:r w:rsidRPr="00BF21C5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全区一般公共预算收支决算平衡情况</w:t>
      </w:r>
    </w:p>
    <w:p w:rsidR="004E24CD" w:rsidRPr="002666BC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全区一般公共预算收入合计</w:t>
      </w:r>
      <w:r w:rsid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610600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万元，支出合计</w:t>
      </w:r>
      <w:r w:rsid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585327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万元，收支相抵，</w:t>
      </w:r>
      <w:r w:rsidR="00CA0DBB" w:rsidRP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年终滚存结余</w:t>
      </w:r>
      <w:r w:rsidR="002666BC" w:rsidRP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25273</w:t>
      </w:r>
      <w:r w:rsidR="00CA0DBB" w:rsidRP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</w:t>
      </w:r>
      <w:r w:rsidR="002666BC" w:rsidRP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增加</w:t>
      </w:r>
      <w:r w:rsidR="002666BC" w:rsidRP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8725</w:t>
      </w:r>
      <w:r w:rsidR="00CA0DBB" w:rsidRPr="002666B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万元，全部为项目结转。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（二）区本级一般公共预算收支决算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1</w:t>
      </w:r>
      <w:r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.</w:t>
      </w:r>
      <w:r w:rsidRPr="002C62B4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区本级一般公共预算收入决算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）地方一般公共预算收入</w:t>
      </w:r>
      <w:r w:rsidR="00BF21C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143713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万元。各主要收入项目具体完成情况如下：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①增值税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（含改征增值税）</w:t>
      </w:r>
      <w:r w:rsidR="00BF21C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18567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②企业所得税</w:t>
      </w:r>
      <w:r w:rsidR="00BF21C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7667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③个人所得税</w:t>
      </w:r>
      <w:r w:rsidR="00BF21C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3012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④城市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维护建设税</w:t>
      </w:r>
      <w:r w:rsidR="000E42B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7700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⑤其他各项税收</w:t>
      </w:r>
      <w:r w:rsidR="000E42B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36661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⑥非税收入</w:t>
      </w:r>
      <w:r w:rsidR="000E42B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70106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F22DE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上级补助收入</w:t>
      </w:r>
      <w:r w:rsidR="000E42B1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217169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万元。其中：增值税返还</w:t>
      </w:r>
      <w:r w:rsidR="00373323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8300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万元，所得税基数返还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3326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万元，成品油价改税收返还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993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万元，一般性转移支付补助</w:t>
      </w:r>
      <w:r w:rsidR="000E42B1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145470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万元，专项补助</w:t>
      </w:r>
      <w:r w:rsidR="000E42B1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54744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F22DE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）债务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(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转贷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)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收入</w:t>
      </w:r>
      <w:r w:rsidR="00373323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28827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F22DE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4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）上年结余</w:t>
      </w:r>
      <w:r w:rsidR="00F22DE5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16090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F22DE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5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）调入预算稳定调节基金</w:t>
      </w:r>
      <w:r w:rsidR="00F22DE5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993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CA4028" w:rsidRPr="00F22DE5" w:rsidRDefault="004E24CD" w:rsidP="00F22DE5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F22DE5">
        <w:rPr>
          <w:rFonts w:ascii="Times New Roman" w:eastAsia="仿宋_GB2312" w:hAnsi="Times New Roman"/>
          <w:kern w:val="0"/>
          <w:sz w:val="32"/>
          <w:szCs w:val="32"/>
          <w:u w:color="000000"/>
        </w:rPr>
        <w:t>6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）调入资金</w:t>
      </w:r>
      <w:r w:rsidR="00F22DE5"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101149</w:t>
      </w:r>
      <w:r w:rsidRPr="00F22DE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lastRenderedPageBreak/>
        <w:t>2</w:t>
      </w:r>
      <w:r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.</w:t>
      </w:r>
      <w:r w:rsidRPr="002C62B4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区本级一般公共预算支出决算</w:t>
      </w:r>
    </w:p>
    <w:p w:rsidR="004E24CD" w:rsidRPr="00247125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）一般公共预算支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出</w:t>
      </w:r>
      <w:r w:rsidR="00373323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454244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万元（含上级专款、上年结转和新增地方政府债券等安排的支出）。</w:t>
      </w:r>
    </w:p>
    <w:p w:rsidR="004E24CD" w:rsidRPr="00247125" w:rsidRDefault="004E24CD" w:rsidP="00F22DE5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247125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上解上级支出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68674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="009F359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24712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结算补助镇街支出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20780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4712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债务还本支出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18655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4712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补充预算稳定调节基金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3617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47125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）调出资金</w:t>
      </w:r>
      <w:r w:rsidR="00F22DE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4794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AD644D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247125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3.</w:t>
      </w:r>
      <w:r w:rsidRPr="00247125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区本级一般公共预算收支</w:t>
      </w:r>
      <w:r w:rsidRPr="00AD644D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决算平衡情况</w:t>
      </w:r>
    </w:p>
    <w:p w:rsidR="004E24CD" w:rsidRPr="00AD644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color w:val="FF0000"/>
          <w:kern w:val="0"/>
          <w:sz w:val="32"/>
          <w:szCs w:val="32"/>
          <w:u w:color="000000"/>
        </w:rPr>
      </w:pPr>
      <w:r w:rsidRPr="00AD644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区本级一般公共预算收入合计</w:t>
      </w:r>
      <w:r w:rsid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595189</w:t>
      </w:r>
      <w:r w:rsidRPr="00AD644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万元，支出合计</w:t>
      </w:r>
      <w:r w:rsid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570764</w:t>
      </w:r>
      <w:r w:rsidRPr="00AD644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，收支相抵，年终滚存结余</w:t>
      </w:r>
      <w:r w:rsidR="0024712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24425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</w:t>
      </w:r>
      <w:r w:rsidR="0024712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增加</w:t>
      </w:r>
      <w:r w:rsidR="00247125"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8335</w:t>
      </w:r>
      <w:r w:rsidRPr="0024712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（三）政府性基金收支决算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1.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全区政府性基金收入决算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）全区政府性基金收入</w:t>
      </w:r>
      <w:r w:rsidR="0070501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43140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</w:t>
      </w:r>
      <w:r w:rsidR="0070501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减少</w:t>
      </w:r>
      <w:r w:rsidR="0070501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536.8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）上级补助收入</w:t>
      </w:r>
      <w:r w:rsidR="0050227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244868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）债务（转贷）收入</w:t>
      </w:r>
      <w:r w:rsidR="0050227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198265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4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）上年结余</w:t>
      </w:r>
      <w:r w:rsidR="0050227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42829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>
        <w:rPr>
          <w:rFonts w:ascii="Times New Roman" w:eastAsia="仿宋_GB2312" w:hAnsi="Times New Roman"/>
          <w:kern w:val="0"/>
          <w:sz w:val="32"/>
          <w:szCs w:val="32"/>
          <w:u w:color="000000"/>
        </w:rPr>
        <w:t>5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）调入资金</w:t>
      </w:r>
      <w:r w:rsidR="0050227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4794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2.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全区政府性基金支出决算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）全区政府性基金支出</w:t>
      </w:r>
      <w:r w:rsidR="0070501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421557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</w:t>
      </w:r>
      <w:r w:rsidRP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年增长</w:t>
      </w:r>
      <w:r w:rsidR="00CB32E3" w:rsidRP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24.43</w:t>
      </w:r>
      <w:r w:rsidRPr="00CB32E3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）调出资金</w:t>
      </w:r>
      <w:r w:rsidR="0050227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78653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502271" w:rsidRDefault="00502271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lastRenderedPageBreak/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上解上级支出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41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502271" w:rsidRDefault="00502271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）债务还本支出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10856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502271" w:rsidRPr="00502271" w:rsidRDefault="00502271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）年终结余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22789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3.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全区政府性基金收支决算平衡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全区政府性基金收入合计</w:t>
      </w:r>
      <w:r w:rsidR="00EB33D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533896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万元，政府性基金支出合计</w:t>
      </w:r>
      <w:r w:rsid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511107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万元，收支相抵，</w:t>
      </w:r>
      <w:r w:rsid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年终结转结余</w:t>
      </w:r>
      <w:r w:rsid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22789</w:t>
      </w:r>
      <w:r w:rsid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  <w:r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主要结余项目是：国有土地使用权出让金</w:t>
      </w:r>
      <w:r w:rsidR="0068485A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结余</w:t>
      </w:r>
      <w:r w:rsidR="00732CA9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</w:t>
      </w:r>
      <w:r w:rsidR="0068485A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1981</w:t>
      </w:r>
      <w:r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="0068485A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彩票公益金结余</w:t>
      </w:r>
      <w:r w:rsidR="0068485A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476</w:t>
      </w:r>
      <w:r w:rsidR="0068485A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万元，城市基础设施配套费相关结余</w:t>
      </w:r>
      <w:r w:rsidR="0068485A"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266</w:t>
      </w:r>
      <w:r w:rsidRPr="0068485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万元。结余政府性基金按规定用途全部结转下年继续使用。我区政府性基金收支预算均为区本级预算。</w:t>
      </w:r>
    </w:p>
    <w:p w:rsidR="004E24CD" w:rsidRPr="00EC0B61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（四）国有资本经营收支决算情况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1.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全区国有资本经营收入决算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全区国有资本经营收入</w:t>
      </w:r>
      <w:r w:rsidR="00CB32E3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3338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万元。各主要收入项目具体完成情况如下：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）利润收入</w:t>
      </w:r>
      <w:r w:rsidR="006C55C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1700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）股利、股息收入</w:t>
      </w:r>
      <w:r w:rsidR="006C55C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1300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）其他国有资本经营预算收入</w:t>
      </w:r>
      <w:r w:rsidR="006C55C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338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6C55C6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上级补助收入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51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2.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全区国有资本经营预算支出</w:t>
      </w:r>
      <w:r w:rsidR="00CB32E3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30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万元</w:t>
      </w:r>
      <w:r w:rsidR="007D15D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，调出资金</w:t>
      </w:r>
      <w:r w:rsidR="007D15D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350</w:t>
      </w:r>
      <w:r w:rsidR="007D15D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万</w:t>
      </w:r>
      <w:r w:rsidR="00193509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，支出总量</w:t>
      </w:r>
      <w:r w:rsidR="00193509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380</w:t>
      </w:r>
      <w:r w:rsidR="00193509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万元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3.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全区国有资本经营收支总量</w:t>
      </w:r>
      <w:r w:rsidRPr="00CB32E3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相抵，年终结转</w:t>
      </w:r>
      <w:r w:rsidR="00CB32E3" w:rsidRPr="00CB32E3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结余</w:t>
      </w:r>
      <w:r w:rsidR="00CB32E3" w:rsidRPr="00CB32E3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3009</w:t>
      </w:r>
      <w:r w:rsidR="00CB32E3" w:rsidRPr="00CB32E3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万元</w:t>
      </w:r>
      <w:r w:rsidRPr="00CB32E3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。国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有资本经营收支预算均属区本级预算。</w:t>
      </w:r>
    </w:p>
    <w:p w:rsidR="004E24CD" w:rsidRPr="00EC0B61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lastRenderedPageBreak/>
        <w:t>（五）社会保险基金收支决算情况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1.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全区社会保险基金收入决算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全区社会保险基金收入</w:t>
      </w:r>
      <w:r w:rsidR="00C20FB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51615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万元，其中：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Pr="0080663B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城乡居民基本养老保险基金收入</w:t>
      </w:r>
      <w:r w:rsidR="00C20FB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15917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Pr="0080663B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机关事业单位基本养老保险基金收入</w:t>
      </w:r>
      <w:r w:rsidR="00C20FB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35698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/>
          <w:b/>
          <w:kern w:val="0"/>
          <w:sz w:val="32"/>
          <w:szCs w:val="32"/>
          <w:u w:color="000000"/>
        </w:rPr>
        <w:t>2.</w:t>
      </w:r>
      <w:r w:rsidRPr="00EC0B61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全区社会保险基金支出决算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全区社会保险基金支出</w:t>
      </w:r>
      <w:r w:rsidR="00C20FB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45828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万元，其中：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Pr="0080663B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城乡居民基本养老保险基金支出</w:t>
      </w:r>
      <w:r w:rsidR="00C20FB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12660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EC0B61" w:rsidRDefault="004E24CD" w:rsidP="00A65277">
      <w:pPr>
        <w:tabs>
          <w:tab w:val="left" w:pos="3780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（</w:t>
      </w:r>
      <w:r w:rsidRPr="00EC0B61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）</w:t>
      </w:r>
      <w:r w:rsidRPr="0080663B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机关事业单位基本养老保险基金支出</w:t>
      </w:r>
      <w:r w:rsidR="00C20FB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33168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EC0B61" w:rsidRDefault="00C20FB5" w:rsidP="00C20FB5">
      <w:pPr>
        <w:tabs>
          <w:tab w:val="left" w:pos="3780"/>
        </w:tabs>
        <w:spacing w:line="560" w:lineRule="exact"/>
        <w:ind w:firstLineChars="200" w:firstLine="643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C20FB5">
        <w:rPr>
          <w:rFonts w:ascii="Times New Roman" w:eastAsia="仿宋_GB2312" w:hAnsi="Times New Roman" w:hint="eastAsia"/>
          <w:b/>
          <w:kern w:val="0"/>
          <w:sz w:val="32"/>
          <w:szCs w:val="32"/>
          <w:u w:color="000000"/>
        </w:rPr>
        <w:t>3.</w:t>
      </w:r>
      <w:r w:rsidR="004E24CD"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全区社会保险基金收支总量相抵，当年收支结余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5787</w:t>
      </w:r>
      <w:r w:rsidR="004E24CD"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万元，年终滚存结余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36083</w:t>
      </w:r>
      <w:r w:rsidR="004E24CD" w:rsidRPr="00EC0B6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万元。我区社会保险基金收支预算均为区本级预算。</w:t>
      </w:r>
    </w:p>
    <w:p w:rsidR="004E24CD" w:rsidRPr="00C84406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  <w:u w:color="000000"/>
        </w:rPr>
      </w:pPr>
      <w:r w:rsidRPr="00C84406">
        <w:rPr>
          <w:rFonts w:ascii="黑体" w:eastAsia="黑体" w:hAnsi="黑体" w:hint="eastAsia"/>
          <w:kern w:val="0"/>
          <w:sz w:val="32"/>
          <w:szCs w:val="32"/>
          <w:u w:color="000000"/>
        </w:rPr>
        <w:t>二、决算有关情况说明</w:t>
      </w:r>
    </w:p>
    <w:p w:rsidR="004E24CD" w:rsidRPr="00C84406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C84406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（一）执行区人大及其常委会决议和决定情况</w:t>
      </w:r>
    </w:p>
    <w:p w:rsidR="001E3BA0" w:rsidRPr="00C84406" w:rsidRDefault="003702F9" w:rsidP="001E3BA0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C84406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Pr="00C8440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C8440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年，全区财政部门认真贯彻落实区委、区政府决策部署，严格落实区人大有关决议要求和批准的预算，自觉主动接受人大法定监督，认真办理人大代表建议案，</w:t>
      </w:r>
      <w:r w:rsidR="00C8440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统筹推进疫情防控和经济社会发展，扎实做好“六稳”工作、全面落实“六保”任务，全力支持决胜脱贫攻坚战，</w:t>
      </w:r>
      <w:r w:rsidR="000B14D1">
        <w:rPr>
          <w:rFonts w:ascii="仿宋_GB2312" w:eastAsia="仿宋_GB2312" w:hAnsi="仿宋" w:hint="eastAsia"/>
          <w:sz w:val="32"/>
          <w:szCs w:val="32"/>
        </w:rPr>
        <w:t>落实政府带头过“紧日子</w:t>
      </w:r>
      <w:bookmarkStart w:id="0" w:name="_GoBack"/>
      <w:bookmarkEnd w:id="0"/>
      <w:r w:rsidR="000B14D1">
        <w:rPr>
          <w:rFonts w:ascii="仿宋_GB2312" w:eastAsia="仿宋_GB2312" w:hAnsi="仿宋" w:hint="eastAsia"/>
          <w:sz w:val="32"/>
          <w:szCs w:val="32"/>
        </w:rPr>
        <w:t>”要求</w:t>
      </w:r>
      <w:r w:rsidR="000B14D1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</w:t>
      </w:r>
      <w:r w:rsidR="004E24CD" w:rsidRPr="00C8440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加强预算执行管理，</w:t>
      </w:r>
      <w:r w:rsidR="001E3BA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促进各项财政工作提质增效。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2020</w:t>
      </w:r>
      <w:r w:rsidR="00B4464E">
        <w:rPr>
          <w:rFonts w:ascii="Times New Roman" w:eastAsia="仿宋_GB2312" w:hAnsi="Times New Roman"/>
          <w:kern w:val="0"/>
          <w:sz w:val="32"/>
          <w:szCs w:val="32"/>
          <w:u w:color="000000"/>
        </w:rPr>
        <w:t>年</w:t>
      </w:r>
      <w:r w:rsidR="00B4464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我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区一般公共预算收入总量在全市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7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个县（市、区）中排名第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，在市对县（市、区）党委政府绩效考评指标中排名全市第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。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2020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年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lastRenderedPageBreak/>
        <w:t>累计争取中央</w:t>
      </w:r>
      <w:r w:rsidR="001E3BA0" w:rsidRPr="001E3BA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、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省、市补助资金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43.55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亿元，其中中央直达资金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3.65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亿元（总量居全市首位）；累计争取新增债券资金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21.25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亿元（总量居全市首位）。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2020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年争取项目资金在市对县（市、区）党委政府绩效考评指标中排名全市第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="001E3BA0" w:rsidRPr="001E3BA0">
        <w:rPr>
          <w:rFonts w:ascii="Times New Roman" w:eastAsia="仿宋_GB2312" w:hAnsi="Times New Roman"/>
          <w:kern w:val="0"/>
          <w:sz w:val="32"/>
          <w:szCs w:val="32"/>
          <w:u w:color="000000"/>
        </w:rPr>
        <w:t>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</w:t>
      </w:r>
      <w:r w:rsidR="004A313D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二</w:t>
      </w: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）区级预算调整情况</w:t>
      </w:r>
    </w:p>
    <w:p w:rsidR="004E24CD" w:rsidRPr="002C62B4" w:rsidRDefault="00425CFA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2020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年，</w:t>
      </w:r>
      <w:r w:rsidR="00955E26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在</w:t>
      </w:r>
      <w:r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新冠</w:t>
      </w:r>
      <w:r w:rsidR="00955E26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肺炎</w:t>
      </w:r>
      <w:r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疫情</w:t>
      </w:r>
      <w:r w:rsidR="00955E26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带来的严重冲击下，</w:t>
      </w:r>
      <w:r w:rsidR="004E24CD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全区一般公共预算收入出现短收，因此一般公共预算总收入由年初预算的</w:t>
      </w:r>
      <w:r w:rsidR="006F45FF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373900</w:t>
      </w:r>
      <w:r w:rsidR="004E24CD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万元调整为</w:t>
      </w:r>
      <w:r w:rsidR="006F45FF" w:rsidRPr="00955E2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3715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00</w:t>
      </w:r>
      <w:r w:rsidR="004E24CD" w:rsidRPr="008B60C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比上年增长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2.3%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；</w:t>
      </w:r>
      <w:r w:rsidR="004E24CD" w:rsidRPr="00927C8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地方一般公共预算收入由年初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预算的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247200</w:t>
      </w:r>
      <w:r w:rsidR="004E24CD" w:rsidRPr="00927C8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调整为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227000</w:t>
      </w:r>
      <w:r w:rsidR="004E24CD" w:rsidRPr="008B60C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减少</w:t>
      </w:r>
      <w:r w:rsidR="006F45FF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5.4</w:t>
      </w:r>
      <w:r w:rsidR="004E24CD" w:rsidRPr="008B60C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="004E24CD" w:rsidRPr="008B60C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  <w:r w:rsidR="004E24CD" w:rsidRPr="003702F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区本级一般公</w:t>
      </w:r>
      <w:r w:rsidR="004E24CD" w:rsidRPr="00A90F1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共预算支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出由年初预算的</w:t>
      </w:r>
      <w:r w:rsidR="003702F9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299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449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万元调整为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374855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="004E24CD" w:rsidRPr="00327409">
        <w:rPr>
          <w:rFonts w:ascii="Times New Roman" w:eastAsia="仿宋_GB2312" w:hAnsi="Times New Roman"/>
          <w:kern w:val="0"/>
          <w:sz w:val="32"/>
          <w:szCs w:val="32"/>
          <w:u w:color="000000"/>
        </w:rPr>
        <w:t>,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其中</w:t>
      </w:r>
      <w:r w:rsidR="004E24CD" w:rsidRPr="00327409">
        <w:rPr>
          <w:rFonts w:ascii="Times New Roman" w:eastAsia="仿宋_GB2312" w:hAnsi="Times New Roman"/>
          <w:kern w:val="0"/>
          <w:sz w:val="32"/>
          <w:szCs w:val="32"/>
          <w:u w:color="000000"/>
        </w:rPr>
        <w:t>: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新增一般政府债务支出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19619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万元。根据今年以来政府性基金预算收入情况，全区政府性基金预算收入由年初的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119517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万元调整为</w:t>
      </w:r>
      <w:r w:rsidR="00A90F1D" w:rsidRPr="00327409">
        <w:rPr>
          <w:rFonts w:ascii="Times New Roman" w:eastAsia="仿宋_GB2312" w:hAnsi="Times New Roman"/>
          <w:kern w:val="0"/>
          <w:sz w:val="32"/>
          <w:szCs w:val="32"/>
          <w:u w:color="000000"/>
        </w:rPr>
        <w:t>8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95</w:t>
      </w:r>
      <w:r w:rsidR="004E24CD" w:rsidRPr="00327409">
        <w:rPr>
          <w:rFonts w:ascii="Times New Roman" w:eastAsia="仿宋_GB2312" w:hAnsi="Times New Roman"/>
          <w:kern w:val="0"/>
          <w:sz w:val="32"/>
          <w:szCs w:val="32"/>
          <w:u w:color="000000"/>
        </w:rPr>
        <w:t>00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万元。政府性基金预算支出由年初的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117520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万元调整为</w:t>
      </w:r>
      <w:r w:rsidR="00A90F1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270536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万元，其中：新增专项债券支出</w:t>
      </w:r>
      <w:r w:rsidR="003702F9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192900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万元。根据国有资本经营预算收入情况，国有资本经营预算收入由年初的</w:t>
      </w:r>
      <w:r w:rsidR="003702F9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2271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万元调整为</w:t>
      </w:r>
      <w:r w:rsidR="003702F9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3581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万元，调增</w:t>
      </w:r>
      <w:r w:rsidR="003702F9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1310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万元。相应将国有资本经营预算支出由年初预算</w:t>
      </w:r>
      <w:r w:rsidR="003702F9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2271</w:t>
      </w:r>
      <w:r w:rsidR="004E24CD" w:rsidRP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</w:t>
      </w:r>
      <w:r w:rsidR="004E24CD" w:rsidRPr="003702F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元调整为</w:t>
      </w:r>
      <w:r w:rsid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3001</w:t>
      </w:r>
      <w:r w:rsidR="004E24CD" w:rsidRPr="003702F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万元，追加安排</w:t>
      </w:r>
      <w:r w:rsid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支出</w:t>
      </w:r>
      <w:r w:rsidR="0032740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730</w:t>
      </w:r>
      <w:r w:rsidR="004E24CD" w:rsidRPr="003702F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预算调整方案已经区</w:t>
      </w:r>
      <w:r w:rsidR="004E24CD" w:rsidRPr="008B54B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十七届人大常委会第</w:t>
      </w:r>
      <w:r w:rsidR="008B54BA" w:rsidRPr="008B54B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三十</w:t>
      </w:r>
      <w:r w:rsidR="004E24CD" w:rsidRPr="008B54B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次会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议审议通过。</w:t>
      </w:r>
    </w:p>
    <w:p w:rsidR="004E24CD" w:rsidRPr="00073CD9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073CD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</w:t>
      </w:r>
      <w:r w:rsidR="004A313D" w:rsidRPr="00073CD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三</w:t>
      </w:r>
      <w:r w:rsidRPr="00073CD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）区本级上年结转资金使用情况</w:t>
      </w:r>
    </w:p>
    <w:p w:rsidR="004E24CD" w:rsidRPr="00073CD9" w:rsidRDefault="00732CA9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2019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年结转至</w:t>
      </w:r>
      <w:r w:rsidRPr="00073CD9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年继续使用的一般公共预算支出</w:t>
      </w:r>
      <w:r w:rsidR="00A30111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16548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万元，已使用</w:t>
      </w:r>
      <w:r w:rsidR="00073CD9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15545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="004E24CD" w:rsidRPr="00073CD9">
        <w:rPr>
          <w:rFonts w:ascii="Times New Roman" w:eastAsia="仿宋_GB2312" w:hAnsi="Times New Roman"/>
          <w:kern w:val="0"/>
          <w:sz w:val="32"/>
          <w:szCs w:val="32"/>
          <w:u w:color="000000"/>
        </w:rPr>
        <w:t>,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主要用于教育支出、农林水支出</w:t>
      </w:r>
      <w:r w:rsidR="00073CD9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、商</w:t>
      </w:r>
      <w:r w:rsidR="00073CD9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lastRenderedPageBreak/>
        <w:t>业服务业等支出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，按规定将结转超过两年或项目已结束的结余资金</w:t>
      </w:r>
      <w:r w:rsidR="00A30111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315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万元转入预算稳定调节基金，剩余</w:t>
      </w:r>
      <w:r w:rsidR="00A30111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688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万元根据项目需要结转</w:t>
      </w:r>
      <w:r w:rsidR="00A30111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2021</w:t>
      </w:r>
      <w:r w:rsidR="004E24CD" w:rsidRPr="00073CD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年继续使用。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</w:t>
      </w:r>
      <w:r w:rsidR="009F359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四</w:t>
      </w: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）上级财政补助资金安排使用情况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一般公共预算，上级财政对区本级补助金额为</w:t>
      </w:r>
      <w:r w:rsidR="003702F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217169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万元，包括：①税收返还</w:t>
      </w:r>
      <w:r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16955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Pr="008B54B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全部纳入区本级年初预算统筹安排；②上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级财政对区本级一般性转移支付</w:t>
      </w:r>
      <w:r w:rsidR="000A717E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145470</w:t>
      </w:r>
      <w:r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万元，除调整工资和养老保险制度改革转移支付及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县级基本财力保障补助资金等</w:t>
      </w:r>
      <w:r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转移支付纳入年初预算统筹安排外，其余大部分属有特定用途的专项转移支付，按照指定用途专款专用；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③上级财政对区本级财政专项补助</w:t>
      </w:r>
      <w:r w:rsidR="000A717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54744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万元，全部是有具体项目和用途的专项补助资金，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实行专款专用，主要集中在教育、社会保障和就业、节能环保、城乡社区、农林水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等民生领域。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政府性基金，上级财政对区本级补助金额为</w:t>
      </w:r>
      <w:r w:rsidR="000A717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244868</w:t>
      </w:r>
      <w:r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万元，主要是国有土地出让金收入市级入库后专项下达。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</w:t>
      </w:r>
      <w:r w:rsidR="009F359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五</w:t>
      </w: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）区本级专项结转资金情况</w:t>
      </w:r>
    </w:p>
    <w:p w:rsidR="004E24CD" w:rsidRPr="005B1A6E" w:rsidRDefault="003F1ECB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5B1A6E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年末区本级一般公共预算专项结转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24425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万元，比上年增加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8335</w:t>
      </w:r>
      <w:r w:rsid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万元，增幅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51.8</w:t>
      </w:r>
      <w:r w:rsidR="004E24CD" w:rsidRPr="005B1A6E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。其中：</w:t>
      </w:r>
      <w:r w:rsidR="004E24CD" w:rsidRPr="005B1A6E">
        <w:rPr>
          <w:rFonts w:ascii="Times New Roman" w:eastAsia="仿宋_GB2312" w:hAnsi="Times New Roman"/>
          <w:kern w:val="0"/>
          <w:sz w:val="32"/>
          <w:szCs w:val="32"/>
          <w:u w:color="000000"/>
        </w:rPr>
        <w:t>201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年省、市专项补助结转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688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Pr="005B1A6E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</w:t>
      </w:r>
      <w:r w:rsidR="005B1A6E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</w:t>
      </w:r>
      <w:r w:rsidR="005B1A6E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省、市专项补助及财政年终结算补助结转</w:t>
      </w:r>
      <w:r w:rsidR="005B1A6E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16870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="005B1A6E" w:rsidRPr="005B1A6E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="005B1A6E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年区本级专项财力结转</w:t>
      </w:r>
      <w:r w:rsidR="005B1A6E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6867</w:t>
      </w:r>
      <w:r w:rsidR="004E24CD" w:rsidRPr="005B1A6E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</w:t>
      </w:r>
      <w:r w:rsidR="009F359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六</w:t>
      </w: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）区本级预备费使用情况</w:t>
      </w:r>
    </w:p>
    <w:p w:rsidR="004E24CD" w:rsidRPr="0066397A" w:rsidRDefault="00BA50C5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66397A">
        <w:rPr>
          <w:rFonts w:ascii="Times New Roman" w:eastAsia="仿宋_GB2312" w:hAnsi="Times New Roman"/>
          <w:kern w:val="0"/>
          <w:sz w:val="32"/>
          <w:szCs w:val="32"/>
          <w:u w:color="000000"/>
        </w:rPr>
        <w:lastRenderedPageBreak/>
        <w:t>20</w:t>
      </w:r>
      <w:r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年，区本级预备费</w:t>
      </w:r>
      <w:r w:rsidR="004E24CD" w:rsidRPr="0066397A">
        <w:rPr>
          <w:rFonts w:ascii="Times New Roman" w:eastAsia="仿宋_GB2312" w:hAnsi="Times New Roman"/>
          <w:kern w:val="0"/>
          <w:sz w:val="32"/>
          <w:szCs w:val="32"/>
          <w:u w:color="000000"/>
        </w:rPr>
        <w:t>3000</w:t>
      </w:r>
      <w:r w:rsidR="004E24CD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万元，全年实际支出预备费</w:t>
      </w:r>
      <w:r w:rsidR="0066397A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2312</w:t>
      </w:r>
      <w:r w:rsidR="004E24CD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万元，主要用于</w:t>
      </w:r>
      <w:r w:rsidR="0066397A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疫情防控、病虫害控制</w:t>
      </w:r>
      <w:r w:rsidR="004E24CD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，剩余</w:t>
      </w:r>
      <w:r w:rsidR="0066397A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688</w:t>
      </w:r>
      <w:r w:rsidR="004E24CD" w:rsidRPr="0066397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万元按规定全部转入区本级预算稳定调节基金。</w:t>
      </w:r>
    </w:p>
    <w:p w:rsidR="004E24CD" w:rsidRPr="002C62B4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</w:t>
      </w:r>
      <w:r w:rsidR="009F359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七</w:t>
      </w: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）区本级预算稳定调节基金规模和使用情况</w:t>
      </w:r>
    </w:p>
    <w:p w:rsidR="004E24CD" w:rsidRPr="00CF1FB9" w:rsidRDefault="00BA50C5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CF1FB9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年初全区预算稳定调节基金规模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2729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万元，其中：区本级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993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万元。为弥补财力缺口依法动用预算稳定调节基金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2729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  <w:r w:rsidR="00CF1FB9" w:rsidRPr="00CF1FB9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年末全区预算稳定调节基金余额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4517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万元，其中：区本级</w:t>
      </w:r>
      <w:r w:rsidR="00CF1FB9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3617</w:t>
      </w:r>
      <w:r w:rsidR="004E24CD" w:rsidRPr="00CF1FB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4E24CD" w:rsidRPr="004A1476" w:rsidRDefault="009F3599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（八</w:t>
      </w:r>
      <w:r w:rsidR="004E24CD" w:rsidRPr="004A1476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）全区部门决算财政拨款收支情况</w:t>
      </w:r>
    </w:p>
    <w:p w:rsidR="004E24CD" w:rsidRPr="004A1476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经汇总，全区</w:t>
      </w:r>
      <w:r w:rsidR="004A1476"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="004A1476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年部门决算财政拨款收入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6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1.77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亿元，同比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减少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0.42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亿元，下降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0.68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，其中，一般公共预算财政拨款收入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39.51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亿元，同比增加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2.42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亿元，增长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6.52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；政府性基金预算财政拨款收入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22.26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</w:t>
      </w:r>
      <w:r w:rsidR="004312F9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同比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减少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2.84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亿元，下降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11.31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4A1476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全区部门决算财政拨款支出汇总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66.49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亿元（含上年结转的支出），同比增加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0.54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亿元，增长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0.82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，其中，一般公共预算财政拨款支出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43.77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亿元，同比增加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6.77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亿元，增长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18.3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；政府性基金预算财政拨款支出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22.71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亿元，同比减少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6.24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亿元，下降</w:t>
      </w:r>
      <w:r w:rsidR="006B6AD2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21.55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4A1476" w:rsidRDefault="009F3599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（九</w:t>
      </w:r>
      <w:r w:rsidR="004E24CD" w:rsidRPr="004A1476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）全区</w:t>
      </w:r>
      <w:r w:rsidR="004E24CD" w:rsidRPr="004A1476"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  <w:t>“</w:t>
      </w:r>
      <w:r w:rsidR="004E24CD" w:rsidRPr="004A1476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三公</w:t>
      </w:r>
      <w:r w:rsidR="004E24CD" w:rsidRPr="004A1476"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  <w:t>”</w:t>
      </w:r>
      <w:r w:rsidR="004E24CD" w:rsidRPr="004A1476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经费及会议费支出情况</w:t>
      </w:r>
    </w:p>
    <w:p w:rsidR="004E24CD" w:rsidRPr="004A1476" w:rsidRDefault="004A1476" w:rsidP="00A65277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年，全区</w:t>
      </w:r>
      <w:r w:rsidR="004E24CD"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“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三公</w:t>
      </w:r>
      <w:r w:rsidR="004E24CD"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”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经费支出合计</w:t>
      </w:r>
      <w:r w:rsidRPr="004A1476">
        <w:rPr>
          <w:rFonts w:ascii="Times New Roman" w:eastAsia="仿宋_GB2312" w:hAnsi="Times New Roman"/>
          <w:kern w:val="0"/>
          <w:sz w:val="32"/>
          <w:szCs w:val="32"/>
          <w:u w:color="000000"/>
        </w:rPr>
        <w:t>9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59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万元，比上年决算数减少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万元，其中：公务用车购置及运行费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873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="0090710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增加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89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万元；公务接待费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83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万元，减少</w:t>
      </w:r>
      <w:r w:rsidR="0090710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43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万元；因公出国（境）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lastRenderedPageBreak/>
        <w:t>费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万元，减少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49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会议费支出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96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万元，减少</w:t>
      </w:r>
      <w:r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19</w:t>
      </w:r>
      <w:r w:rsidR="004E24CD" w:rsidRPr="004A147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万元，各部门严格执行会议费支出的有关规定，精简会议，压缩一般性支出。</w:t>
      </w:r>
    </w:p>
    <w:p w:rsidR="004E24CD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2C62B4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（十）</w:t>
      </w:r>
      <w:r w:rsidRPr="00B8732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与民生相关重点支出完成情况</w:t>
      </w:r>
    </w:p>
    <w:p w:rsidR="004E24CD" w:rsidRDefault="0005075B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全区与民生相关重点支出合计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388318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万元，占一般公共预算支出比重为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79.5</w:t>
      </w:r>
      <w:r w:rsidR="004E24CD"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，比去年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增加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9229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万元，增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幅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2.4</w:t>
      </w:r>
      <w:r w:rsidR="004E24CD" w:rsidRPr="002C62B4">
        <w:rPr>
          <w:rFonts w:ascii="Times New Roman" w:eastAsia="仿宋_GB2312" w:hAnsi="Times New Roman"/>
          <w:kern w:val="0"/>
          <w:sz w:val="32"/>
          <w:szCs w:val="32"/>
          <w:u w:color="000000"/>
        </w:rPr>
        <w:t>%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，教育、社会保障、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卫生健康、农林水</w:t>
      </w:r>
      <w:r w:rsidR="004E24C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等支出投入较大幅度增长</w:t>
      </w:r>
      <w:r w:rsidR="004E24CD" w:rsidRPr="002C62B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C102C" w:rsidRPr="00026B77" w:rsidRDefault="009F3599" w:rsidP="004C102C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（十一</w:t>
      </w:r>
      <w:r w:rsidR="004C102C" w:rsidRPr="00026B77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）直达资金</w:t>
      </w:r>
      <w:r w:rsidR="004C102C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下达及</w:t>
      </w:r>
      <w:r w:rsidR="004C102C" w:rsidRPr="00026B77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支出情况</w:t>
      </w:r>
    </w:p>
    <w:p w:rsidR="004C102C" w:rsidRPr="004C102C" w:rsidRDefault="004C102C" w:rsidP="004C102C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026B77">
        <w:rPr>
          <w:rFonts w:ascii="Times New Roman" w:eastAsia="仿宋_GB2312" w:hAnsi="Times New Roman"/>
          <w:kern w:val="0"/>
          <w:sz w:val="32"/>
          <w:szCs w:val="32"/>
          <w:u w:color="000000"/>
        </w:rPr>
        <w:t>2020</w:t>
      </w:r>
      <w:r w:rsidRPr="00026B77">
        <w:rPr>
          <w:rFonts w:ascii="Times New Roman" w:eastAsia="仿宋_GB2312" w:hAnsi="Times New Roman"/>
          <w:kern w:val="0"/>
          <w:sz w:val="32"/>
          <w:szCs w:val="32"/>
          <w:u w:color="000000"/>
        </w:rPr>
        <w:t>年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中央</w:t>
      </w:r>
      <w:r w:rsidRPr="00026B77">
        <w:rPr>
          <w:rFonts w:ascii="Times New Roman" w:eastAsia="仿宋_GB2312" w:hAnsi="Times New Roman"/>
          <w:kern w:val="0"/>
          <w:sz w:val="32"/>
          <w:szCs w:val="32"/>
          <w:u w:color="000000"/>
        </w:rPr>
        <w:t>累计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下达我区直达资金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3.65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亿元，其中抗疫特别国债</w:t>
      </w:r>
      <w:r w:rsidR="000D6BBD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9510</w:t>
      </w:r>
      <w:r w:rsidR="001E2A45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，共安排支出项目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60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个，主要安排用于教育支出、</w:t>
      </w:r>
      <w:r w:rsidRPr="004C102C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对机关事业单位基本养老保险基金的补助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支出、抗疫相关支出、公共卫生体系建设支出、社会保障支出、交通基础设施建设支出等方面，</w:t>
      </w:r>
      <w:r w:rsidRPr="00E91B2B">
        <w:rPr>
          <w:rFonts w:ascii="仿宋_GB2312" w:eastAsia="仿宋_GB2312" w:hint="eastAsia"/>
          <w:sz w:val="32"/>
          <w:szCs w:val="32"/>
        </w:rPr>
        <w:t>保障了我区退休人员养老金和城乡居民养老保险资金的发放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加快推进我区教育民生事业发展，支持我区交通基础设施建设，统筹疫情防控及经济平稳运行。</w:t>
      </w:r>
    </w:p>
    <w:p w:rsidR="004E24CD" w:rsidRPr="00CC323A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3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 w:rsidRPr="00CC323A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（十</w:t>
      </w:r>
      <w:r w:rsidR="009F3599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二</w:t>
      </w:r>
      <w:r w:rsidRPr="00CC323A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）专项支出绩效管理情况</w:t>
      </w:r>
    </w:p>
    <w:p w:rsidR="004E24CD" w:rsidRPr="00CC323A" w:rsidRDefault="004E24CD" w:rsidP="00A65277">
      <w:pPr>
        <w:widowControl/>
        <w:tabs>
          <w:tab w:val="left" w:pos="3723"/>
          <w:tab w:val="left" w:pos="5603"/>
        </w:tabs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20</w:t>
      </w:r>
      <w:r w:rsidR="0005075B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年，区本级财政批复绩效目标管理单位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104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家，项目</w:t>
      </w:r>
      <w:r w:rsidR="007C1DA8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393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个，批复资金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316221.46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万元，占年度专项支出的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100%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；布置监控单位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104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家，监控项目</w:t>
      </w:r>
      <w:r w:rsidR="00310366"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3</w:t>
      </w:r>
      <w:r w:rsidR="007C1DA8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93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个，监控资金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316221.46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万元，占年度专项支出的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100%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</w:t>
      </w:r>
    </w:p>
    <w:p w:rsidR="004E24CD" w:rsidRPr="00CC323A" w:rsidRDefault="004E24CD" w:rsidP="00A65277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按照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“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谁使用、谁评价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”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的原则，区财政局布置各预算单位对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lastRenderedPageBreak/>
        <w:t>201</w:t>
      </w:r>
      <w:r w:rsidR="0005075B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9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年专项支出实施了绩效自评，共有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117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家单位报送自评项目</w:t>
      </w:r>
      <w:r w:rsidR="007C1DA8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326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个，自评资金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281690.66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万元，占</w:t>
      </w:r>
      <w:r w:rsidR="00832322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2019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年专项支出的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100%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。在组织开展部门绩效自评的同时，区财政局还选取了</w:t>
      </w:r>
      <w:r w:rsidR="00310366" w:rsidRPr="00CC323A">
        <w:rPr>
          <w:rFonts w:ascii="仿宋_GB2312" w:eastAsia="仿宋_GB2312" w:hAnsi="仿宋" w:hint="eastAsia"/>
          <w:sz w:val="32"/>
          <w:szCs w:val="32"/>
        </w:rPr>
        <w:t>教学仪器装备经费、村卫生所建设资金、乡镇基础设施提升改造项目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等方面的专项支出，开展绩效重点评价，重点评价项目</w:t>
      </w:r>
      <w:r w:rsidRPr="00CC323A">
        <w:rPr>
          <w:rFonts w:ascii="Times New Roman" w:eastAsia="仿宋_GB2312" w:hAnsi="Times New Roman"/>
          <w:kern w:val="0"/>
          <w:sz w:val="32"/>
          <w:szCs w:val="32"/>
          <w:u w:color="000000"/>
        </w:rPr>
        <w:t>5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个，评价资金</w:t>
      </w:r>
      <w:r w:rsidR="00310366"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6601</w:t>
      </w:r>
      <w:r w:rsidRPr="00CC323A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万元。为财政部门科学编制预算、项目单位提高资金绩效意识起到了积极的推动作用。</w:t>
      </w:r>
    </w:p>
    <w:p w:rsidR="004C102C" w:rsidRDefault="009F3599" w:rsidP="004C102C">
      <w:pPr>
        <w:spacing w:line="560" w:lineRule="exact"/>
        <w:ind w:firstLineChars="200" w:firstLine="643"/>
        <w:jc w:val="left"/>
        <w:rPr>
          <w:rFonts w:ascii="楷体_GB2312" w:eastAsia="楷体_GB2312" w:hAnsi="Times New Roman"/>
          <w:b/>
          <w:kern w:val="0"/>
          <w:sz w:val="32"/>
          <w:szCs w:val="32"/>
          <w:u w:color="000000"/>
        </w:rPr>
      </w:pPr>
      <w:r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（十三</w:t>
      </w:r>
      <w:r w:rsidR="004C102C" w:rsidRPr="00CC323A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）全区财政收支结算数与向区十</w:t>
      </w:r>
      <w:r w:rsidR="004C102C">
        <w:rPr>
          <w:rFonts w:ascii="楷体_GB2312" w:eastAsia="楷体_GB2312" w:hAnsi="Times New Roman" w:hint="eastAsia"/>
          <w:b/>
          <w:kern w:val="0"/>
          <w:sz w:val="32"/>
          <w:szCs w:val="32"/>
          <w:u w:color="000000"/>
        </w:rPr>
        <w:t>七届人大五次会议报告的预算执行数差异情况</w:t>
      </w:r>
    </w:p>
    <w:p w:rsidR="00D47D50" w:rsidRDefault="000D6BBD" w:rsidP="006C5FC8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全区地方一般公共预算和政府性基金预算收支结算数与</w:t>
      </w:r>
      <w:r w:rsidR="00D47D50" w:rsidRP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向区十七届人大五次会议报告的预算执行数</w:t>
      </w:r>
      <w:r w:rsid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存在</w:t>
      </w:r>
      <w:r w:rsidR="00D47D50" w:rsidRP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差异</w:t>
      </w:r>
      <w:r w:rsid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主要原因是执行数按</w:t>
      </w:r>
      <w:r w:rsid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2020</w:t>
      </w:r>
      <w:r w:rsid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</w:t>
      </w:r>
      <w:r w:rsid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12</w:t>
      </w:r>
      <w:r w:rsidR="00D47D50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月数据预计，年度尚未结束，与结算数存在时间差。</w:t>
      </w:r>
    </w:p>
    <w:p w:rsidR="006C5FC8" w:rsidRPr="00522F66" w:rsidRDefault="006C5FC8" w:rsidP="006C5FC8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522F66">
        <w:rPr>
          <w:rFonts w:ascii="Times New Roman" w:eastAsia="仿宋_GB2312" w:hAnsi="Times New Roman"/>
          <w:kern w:val="0"/>
          <w:sz w:val="32"/>
          <w:szCs w:val="32"/>
          <w:u w:color="000000"/>
        </w:rPr>
        <w:t>1</w:t>
      </w:r>
      <w:r w:rsidRPr="00522F66">
        <w:rPr>
          <w:rFonts w:ascii="Times New Roman" w:eastAsia="仿宋_GB2312" w:hAnsi="Times New Roman"/>
          <w:kern w:val="0"/>
          <w:sz w:val="32"/>
          <w:szCs w:val="32"/>
          <w:u w:color="000000"/>
        </w:rPr>
        <w:t>．全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区地方一般公共预算收入完成</w:t>
      </w:r>
      <w:r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42907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万元，与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2020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年预算执行情况报告的预计完成数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244300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万元，差异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1393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万元。全市一般公共预算支出完成</w:t>
      </w:r>
      <w:r w:rsidRPr="006C5FC8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488687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万元（含上级转移支付），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与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2020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年预算执行情况报告的预计完成数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458200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="00FB32F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差异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30487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p w:rsidR="00D47D50" w:rsidRPr="00522F66" w:rsidRDefault="006C5FC8" w:rsidP="00D47D50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  <w:u w:color="000000"/>
        </w:rPr>
      </w:pPr>
      <w:r w:rsidRPr="00522F66">
        <w:rPr>
          <w:rFonts w:ascii="Times New Roman" w:eastAsia="仿宋_GB2312" w:hAnsi="Times New Roman"/>
          <w:kern w:val="0"/>
          <w:sz w:val="32"/>
          <w:szCs w:val="32"/>
          <w:u w:color="000000"/>
        </w:rPr>
        <w:t>2</w:t>
      </w:r>
      <w:r w:rsidRPr="00522F66">
        <w:rPr>
          <w:rFonts w:ascii="Times New Roman" w:eastAsia="仿宋_GB2312" w:hAnsi="Times New Roman"/>
          <w:kern w:val="0"/>
          <w:sz w:val="32"/>
          <w:szCs w:val="32"/>
          <w:u w:color="000000"/>
        </w:rPr>
        <w:t>．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全区政府性基金收入决算数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43140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与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2020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年预算执行情况报告的预计完成数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60290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万元，差异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17150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全市政府性基金支出决算数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421557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，</w:t>
      </w:r>
      <w:r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与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2020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年预算执行情况报告的预计完成数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417858</w:t>
      </w:r>
      <w:r w:rsidR="00FB32F4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万元，差异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3699</w:t>
      </w:r>
      <w:r w:rsidR="005C50E6" w:rsidRPr="00522F66">
        <w:rPr>
          <w:rFonts w:ascii="Times New Roman" w:eastAsia="仿宋_GB2312" w:hAnsi="Times New Roman" w:hint="eastAsia"/>
          <w:kern w:val="0"/>
          <w:sz w:val="32"/>
          <w:szCs w:val="32"/>
          <w:u w:color="000000"/>
        </w:rPr>
        <w:t>万元。</w:t>
      </w:r>
    </w:p>
    <w:sectPr w:rsidR="00D47D50" w:rsidRPr="00522F66" w:rsidSect="00983D17">
      <w:footerReference w:type="even" r:id="rId6"/>
      <w:footerReference w:type="default" r:id="rId7"/>
      <w:pgSz w:w="11906" w:h="16838" w:code="9"/>
      <w:pgMar w:top="2098" w:right="1474" w:bottom="1985" w:left="1588" w:header="851" w:footer="1559" w:gutter="0"/>
      <w:pgNumType w:fmt="numberInDash" w:start="2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33E" w:rsidRDefault="00F2533E" w:rsidP="000E54B0">
      <w:r>
        <w:separator/>
      </w:r>
    </w:p>
  </w:endnote>
  <w:endnote w:type="continuationSeparator" w:id="1">
    <w:p w:rsidR="00F2533E" w:rsidRDefault="00F2533E" w:rsidP="000E5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4CD" w:rsidRDefault="00EA38BC" w:rsidP="004518E9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4E24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24CD" w:rsidRDefault="004E24CD" w:rsidP="00DD32EE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4CD" w:rsidRPr="00DD32EE" w:rsidRDefault="00EA38BC" w:rsidP="004518E9">
    <w:pPr>
      <w:pStyle w:val="a4"/>
      <w:framePr w:wrap="around" w:vAnchor="text" w:hAnchor="margin" w:xAlign="outside" w:y="1"/>
      <w:rPr>
        <w:rStyle w:val="a5"/>
        <w:rFonts w:ascii="仿宋" w:eastAsia="仿宋" w:hAnsi="仿宋"/>
        <w:sz w:val="28"/>
        <w:szCs w:val="28"/>
      </w:rPr>
    </w:pPr>
    <w:r w:rsidRPr="00DD32EE">
      <w:rPr>
        <w:rStyle w:val="a5"/>
        <w:rFonts w:ascii="仿宋" w:eastAsia="仿宋" w:hAnsi="仿宋"/>
        <w:sz w:val="28"/>
        <w:szCs w:val="28"/>
      </w:rPr>
      <w:fldChar w:fldCharType="begin"/>
    </w:r>
    <w:r w:rsidR="004E24CD" w:rsidRPr="00DD32EE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Pr="00DD32EE">
      <w:rPr>
        <w:rStyle w:val="a5"/>
        <w:rFonts w:ascii="仿宋" w:eastAsia="仿宋" w:hAnsi="仿宋"/>
        <w:sz w:val="28"/>
        <w:szCs w:val="28"/>
      </w:rPr>
      <w:fldChar w:fldCharType="separate"/>
    </w:r>
    <w:r w:rsidR="00983D17">
      <w:rPr>
        <w:rStyle w:val="a5"/>
        <w:rFonts w:ascii="仿宋" w:eastAsia="仿宋" w:hAnsi="仿宋"/>
        <w:noProof/>
        <w:sz w:val="28"/>
        <w:szCs w:val="28"/>
      </w:rPr>
      <w:t>- 29 -</w:t>
    </w:r>
    <w:r w:rsidRPr="00DD32EE">
      <w:rPr>
        <w:rStyle w:val="a5"/>
        <w:rFonts w:ascii="仿宋" w:eastAsia="仿宋" w:hAnsi="仿宋"/>
        <w:sz w:val="28"/>
        <w:szCs w:val="28"/>
      </w:rPr>
      <w:fldChar w:fldCharType="end"/>
    </w:r>
  </w:p>
  <w:p w:rsidR="004E24CD" w:rsidRDefault="004E24CD" w:rsidP="00DD32EE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33E" w:rsidRDefault="00F2533E" w:rsidP="000E54B0">
      <w:r>
        <w:separator/>
      </w:r>
    </w:p>
  </w:footnote>
  <w:footnote w:type="continuationSeparator" w:id="1">
    <w:p w:rsidR="00F2533E" w:rsidRDefault="00F2533E" w:rsidP="000E54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54B0"/>
    <w:rsid w:val="00017622"/>
    <w:rsid w:val="0002456C"/>
    <w:rsid w:val="00026B77"/>
    <w:rsid w:val="00032D45"/>
    <w:rsid w:val="000408BE"/>
    <w:rsid w:val="00046A40"/>
    <w:rsid w:val="000503AB"/>
    <w:rsid w:val="0005075B"/>
    <w:rsid w:val="00073CD9"/>
    <w:rsid w:val="00083B81"/>
    <w:rsid w:val="000A717E"/>
    <w:rsid w:val="000B0DD8"/>
    <w:rsid w:val="000B14D1"/>
    <w:rsid w:val="000D046D"/>
    <w:rsid w:val="000D11FF"/>
    <w:rsid w:val="000D6BBD"/>
    <w:rsid w:val="000E42B1"/>
    <w:rsid w:val="000E54B0"/>
    <w:rsid w:val="000F2EDB"/>
    <w:rsid w:val="00140105"/>
    <w:rsid w:val="0014163E"/>
    <w:rsid w:val="00151766"/>
    <w:rsid w:val="00170702"/>
    <w:rsid w:val="001729D4"/>
    <w:rsid w:val="00184D93"/>
    <w:rsid w:val="00191162"/>
    <w:rsid w:val="00193509"/>
    <w:rsid w:val="00196681"/>
    <w:rsid w:val="001C1D6B"/>
    <w:rsid w:val="001C3005"/>
    <w:rsid w:val="001E2A45"/>
    <w:rsid w:val="001E3BA0"/>
    <w:rsid w:val="001F59C3"/>
    <w:rsid w:val="001F73F3"/>
    <w:rsid w:val="00202ED5"/>
    <w:rsid w:val="002211EA"/>
    <w:rsid w:val="002337FB"/>
    <w:rsid w:val="00237112"/>
    <w:rsid w:val="00245848"/>
    <w:rsid w:val="00247125"/>
    <w:rsid w:val="002666BC"/>
    <w:rsid w:val="00272C73"/>
    <w:rsid w:val="0027394D"/>
    <w:rsid w:val="00292FCB"/>
    <w:rsid w:val="002B23BD"/>
    <w:rsid w:val="002B6C0F"/>
    <w:rsid w:val="002C4EEE"/>
    <w:rsid w:val="002C62B4"/>
    <w:rsid w:val="002D1787"/>
    <w:rsid w:val="002E2C32"/>
    <w:rsid w:val="002F7982"/>
    <w:rsid w:val="00307CBD"/>
    <w:rsid w:val="00310366"/>
    <w:rsid w:val="00317D7B"/>
    <w:rsid w:val="003219D4"/>
    <w:rsid w:val="00327409"/>
    <w:rsid w:val="003322DC"/>
    <w:rsid w:val="003426A7"/>
    <w:rsid w:val="00352AAD"/>
    <w:rsid w:val="00365933"/>
    <w:rsid w:val="003702F9"/>
    <w:rsid w:val="00370FA5"/>
    <w:rsid w:val="00373323"/>
    <w:rsid w:val="003F1ECB"/>
    <w:rsid w:val="003F2710"/>
    <w:rsid w:val="003F49B9"/>
    <w:rsid w:val="004041A7"/>
    <w:rsid w:val="00417AF9"/>
    <w:rsid w:val="00425CFA"/>
    <w:rsid w:val="004312F9"/>
    <w:rsid w:val="004518E9"/>
    <w:rsid w:val="00455156"/>
    <w:rsid w:val="004644FA"/>
    <w:rsid w:val="00477622"/>
    <w:rsid w:val="00484022"/>
    <w:rsid w:val="00494A64"/>
    <w:rsid w:val="004A1476"/>
    <w:rsid w:val="004A2D5B"/>
    <w:rsid w:val="004A313D"/>
    <w:rsid w:val="004C00E9"/>
    <w:rsid w:val="004C102C"/>
    <w:rsid w:val="004E24CD"/>
    <w:rsid w:val="00502271"/>
    <w:rsid w:val="00510F87"/>
    <w:rsid w:val="00522F66"/>
    <w:rsid w:val="00533DC2"/>
    <w:rsid w:val="00541DAB"/>
    <w:rsid w:val="00580C2E"/>
    <w:rsid w:val="005911B6"/>
    <w:rsid w:val="005A3A74"/>
    <w:rsid w:val="005B1A6E"/>
    <w:rsid w:val="005C50E6"/>
    <w:rsid w:val="005E6A37"/>
    <w:rsid w:val="005F3BAC"/>
    <w:rsid w:val="00615849"/>
    <w:rsid w:val="006226A7"/>
    <w:rsid w:val="006233A3"/>
    <w:rsid w:val="0062526D"/>
    <w:rsid w:val="00632EEC"/>
    <w:rsid w:val="00633451"/>
    <w:rsid w:val="00645FF0"/>
    <w:rsid w:val="00646ABF"/>
    <w:rsid w:val="00652DF0"/>
    <w:rsid w:val="0066397A"/>
    <w:rsid w:val="00675C44"/>
    <w:rsid w:val="0068485A"/>
    <w:rsid w:val="0069357E"/>
    <w:rsid w:val="00697240"/>
    <w:rsid w:val="006A7752"/>
    <w:rsid w:val="006B6AD2"/>
    <w:rsid w:val="006C55C6"/>
    <w:rsid w:val="006C5FC8"/>
    <w:rsid w:val="006E5335"/>
    <w:rsid w:val="006E54A0"/>
    <w:rsid w:val="006F45FF"/>
    <w:rsid w:val="00702B5F"/>
    <w:rsid w:val="00705014"/>
    <w:rsid w:val="00731308"/>
    <w:rsid w:val="00732CA9"/>
    <w:rsid w:val="007466ED"/>
    <w:rsid w:val="00747C66"/>
    <w:rsid w:val="00755DDE"/>
    <w:rsid w:val="007577F2"/>
    <w:rsid w:val="00780A32"/>
    <w:rsid w:val="007870DC"/>
    <w:rsid w:val="007A2621"/>
    <w:rsid w:val="007A4C81"/>
    <w:rsid w:val="007B0CC4"/>
    <w:rsid w:val="007B1D93"/>
    <w:rsid w:val="007B5D89"/>
    <w:rsid w:val="007C1DA8"/>
    <w:rsid w:val="007D15D1"/>
    <w:rsid w:val="007D77CD"/>
    <w:rsid w:val="00802F6C"/>
    <w:rsid w:val="0080329B"/>
    <w:rsid w:val="0080663B"/>
    <w:rsid w:val="00813D65"/>
    <w:rsid w:val="00814267"/>
    <w:rsid w:val="00822D90"/>
    <w:rsid w:val="008251A6"/>
    <w:rsid w:val="00832322"/>
    <w:rsid w:val="0083482C"/>
    <w:rsid w:val="00854BEE"/>
    <w:rsid w:val="00861654"/>
    <w:rsid w:val="008678C2"/>
    <w:rsid w:val="008974F3"/>
    <w:rsid w:val="008A16A4"/>
    <w:rsid w:val="008B236F"/>
    <w:rsid w:val="008B54BA"/>
    <w:rsid w:val="008B60C6"/>
    <w:rsid w:val="008C12FB"/>
    <w:rsid w:val="008D1B63"/>
    <w:rsid w:val="008D318E"/>
    <w:rsid w:val="008E2818"/>
    <w:rsid w:val="008F31AB"/>
    <w:rsid w:val="008F61C4"/>
    <w:rsid w:val="00906D5A"/>
    <w:rsid w:val="00907100"/>
    <w:rsid w:val="00915B31"/>
    <w:rsid w:val="0092745B"/>
    <w:rsid w:val="00927C84"/>
    <w:rsid w:val="009318F7"/>
    <w:rsid w:val="00955E26"/>
    <w:rsid w:val="00971863"/>
    <w:rsid w:val="009837B9"/>
    <w:rsid w:val="00983D17"/>
    <w:rsid w:val="00990660"/>
    <w:rsid w:val="009B076B"/>
    <w:rsid w:val="009B5CF6"/>
    <w:rsid w:val="009C4062"/>
    <w:rsid w:val="009E5AE7"/>
    <w:rsid w:val="009E7635"/>
    <w:rsid w:val="009F04A5"/>
    <w:rsid w:val="009F2B89"/>
    <w:rsid w:val="009F3599"/>
    <w:rsid w:val="00A20287"/>
    <w:rsid w:val="00A30111"/>
    <w:rsid w:val="00A646B7"/>
    <w:rsid w:val="00A65277"/>
    <w:rsid w:val="00A727C6"/>
    <w:rsid w:val="00A77A7C"/>
    <w:rsid w:val="00A81976"/>
    <w:rsid w:val="00A90F1D"/>
    <w:rsid w:val="00AC1C5F"/>
    <w:rsid w:val="00AD644D"/>
    <w:rsid w:val="00AD6E92"/>
    <w:rsid w:val="00AE2047"/>
    <w:rsid w:val="00AE3ACE"/>
    <w:rsid w:val="00B30EA6"/>
    <w:rsid w:val="00B4464E"/>
    <w:rsid w:val="00B5523B"/>
    <w:rsid w:val="00B56475"/>
    <w:rsid w:val="00B70643"/>
    <w:rsid w:val="00B71F90"/>
    <w:rsid w:val="00B749DF"/>
    <w:rsid w:val="00B845AE"/>
    <w:rsid w:val="00B87329"/>
    <w:rsid w:val="00B87E6C"/>
    <w:rsid w:val="00BA50C5"/>
    <w:rsid w:val="00BC07F6"/>
    <w:rsid w:val="00BC2E10"/>
    <w:rsid w:val="00BD0897"/>
    <w:rsid w:val="00BD700B"/>
    <w:rsid w:val="00BF21C5"/>
    <w:rsid w:val="00BF4F0A"/>
    <w:rsid w:val="00C00D75"/>
    <w:rsid w:val="00C20FB5"/>
    <w:rsid w:val="00C2109B"/>
    <w:rsid w:val="00C33678"/>
    <w:rsid w:val="00C349ED"/>
    <w:rsid w:val="00C420E0"/>
    <w:rsid w:val="00C60563"/>
    <w:rsid w:val="00C60DED"/>
    <w:rsid w:val="00C71094"/>
    <w:rsid w:val="00C770AD"/>
    <w:rsid w:val="00C84406"/>
    <w:rsid w:val="00C970F6"/>
    <w:rsid w:val="00CA0DBB"/>
    <w:rsid w:val="00CA2148"/>
    <w:rsid w:val="00CA4028"/>
    <w:rsid w:val="00CB32E3"/>
    <w:rsid w:val="00CC323A"/>
    <w:rsid w:val="00CE526B"/>
    <w:rsid w:val="00CF1FB9"/>
    <w:rsid w:val="00D13BD9"/>
    <w:rsid w:val="00D331A8"/>
    <w:rsid w:val="00D4006A"/>
    <w:rsid w:val="00D47D50"/>
    <w:rsid w:val="00D51541"/>
    <w:rsid w:val="00D657E2"/>
    <w:rsid w:val="00D75824"/>
    <w:rsid w:val="00D80E61"/>
    <w:rsid w:val="00D82C33"/>
    <w:rsid w:val="00D86373"/>
    <w:rsid w:val="00DA0475"/>
    <w:rsid w:val="00DA1C65"/>
    <w:rsid w:val="00DA5AE3"/>
    <w:rsid w:val="00DA5DED"/>
    <w:rsid w:val="00DA7AC0"/>
    <w:rsid w:val="00DB6093"/>
    <w:rsid w:val="00DC15F5"/>
    <w:rsid w:val="00DD186E"/>
    <w:rsid w:val="00DD18DB"/>
    <w:rsid w:val="00DD2C89"/>
    <w:rsid w:val="00DD32EE"/>
    <w:rsid w:val="00DD61FB"/>
    <w:rsid w:val="00E15F4A"/>
    <w:rsid w:val="00E1637C"/>
    <w:rsid w:val="00E24DFC"/>
    <w:rsid w:val="00E75FDA"/>
    <w:rsid w:val="00E821EE"/>
    <w:rsid w:val="00E836A7"/>
    <w:rsid w:val="00E85784"/>
    <w:rsid w:val="00E866FC"/>
    <w:rsid w:val="00E965F6"/>
    <w:rsid w:val="00E96A85"/>
    <w:rsid w:val="00EA3770"/>
    <w:rsid w:val="00EA38BC"/>
    <w:rsid w:val="00EA7C0A"/>
    <w:rsid w:val="00EB33D3"/>
    <w:rsid w:val="00EC0B61"/>
    <w:rsid w:val="00ED0A75"/>
    <w:rsid w:val="00EE7935"/>
    <w:rsid w:val="00EF568B"/>
    <w:rsid w:val="00EF56F9"/>
    <w:rsid w:val="00F045F5"/>
    <w:rsid w:val="00F0589B"/>
    <w:rsid w:val="00F07438"/>
    <w:rsid w:val="00F15C37"/>
    <w:rsid w:val="00F22DE5"/>
    <w:rsid w:val="00F233F2"/>
    <w:rsid w:val="00F2533E"/>
    <w:rsid w:val="00F2766A"/>
    <w:rsid w:val="00F327E1"/>
    <w:rsid w:val="00F3603F"/>
    <w:rsid w:val="00F478F4"/>
    <w:rsid w:val="00F53C15"/>
    <w:rsid w:val="00F85A31"/>
    <w:rsid w:val="00FA1146"/>
    <w:rsid w:val="00FB2EFD"/>
    <w:rsid w:val="00FB32F4"/>
    <w:rsid w:val="00FF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A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0E5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0E54B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0E5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0E54B0"/>
    <w:rPr>
      <w:rFonts w:cs="Times New Roman"/>
      <w:sz w:val="18"/>
      <w:szCs w:val="18"/>
    </w:rPr>
  </w:style>
  <w:style w:type="character" w:styleId="a5">
    <w:name w:val="page number"/>
    <w:basedOn w:val="a0"/>
    <w:uiPriority w:val="99"/>
    <w:rsid w:val="00DD32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5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10</Pages>
  <Words>758</Words>
  <Characters>4326</Characters>
  <Application>Microsoft Office Word</Application>
  <DocSecurity>0</DocSecurity>
  <Lines>36</Lines>
  <Paragraphs>10</Paragraphs>
  <ScaleCrop>false</ScaleCrop>
  <Company>微软中国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廖水兰</cp:lastModifiedBy>
  <cp:revision>158</cp:revision>
  <cp:lastPrinted>2021-07-16T07:41:00Z</cp:lastPrinted>
  <dcterms:created xsi:type="dcterms:W3CDTF">2019-07-25T09:24:00Z</dcterms:created>
  <dcterms:modified xsi:type="dcterms:W3CDTF">2021-08-05T08:31:00Z</dcterms:modified>
</cp:coreProperties>
</file>