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78F83E5">
      <w:pPr>
        <w:numPr>
          <w:ilvl w:val="0"/>
          <w:numId w:val="2"/>
        </w:numPr>
        <w:spacing w:line="640" w:lineRule="exact"/>
        <w:jc w:val="center"/>
        <w:outlineLvl w:val="0"/>
        <w:rPr>
          <w:rFonts w:ascii="方正小标宋简体" w:hAnsi="方正小标宋简体" w:eastAsia="方正小标宋简体" w:cs="方正小标宋简体"/>
          <w:sz w:val="44"/>
          <w:szCs w:val="44"/>
        </w:rPr>
      </w:pPr>
      <w:bookmarkStart w:id="0" w:name="_Toc11076"/>
      <w:bookmarkStart w:id="1" w:name="_Toc76683343"/>
      <w:r>
        <w:rPr>
          <w:rFonts w:hint="eastAsia" w:ascii="方正小标宋简体" w:hAnsi="方正小标宋简体" w:eastAsia="方正小标宋简体" w:cs="方正小标宋简体"/>
          <w:bCs/>
          <w:sz w:val="44"/>
          <w:szCs w:val="44"/>
        </w:rPr>
        <w:t>龙岩市新罗区市场监督管理局</w:t>
      </w:r>
      <w:bookmarkEnd w:id="0"/>
      <w:bookmarkEnd w:id="1"/>
    </w:p>
    <w:p w14:paraId="700B80C9">
      <w:pPr>
        <w:pStyle w:val="2"/>
        <w:numPr>
          <w:ilvl w:val="0"/>
          <w:numId w:val="2"/>
        </w:numPr>
        <w:spacing w:line="640" w:lineRule="exact"/>
        <w:jc w:val="center"/>
        <w:rPr>
          <w:rFonts w:eastAsia="方正小标宋简体" w:cs="方正小标宋简体"/>
          <w:sz w:val="44"/>
          <w:szCs w:val="44"/>
        </w:rPr>
      </w:pPr>
      <w:bookmarkStart w:id="2" w:name="_Toc76683344"/>
      <w:r>
        <w:rPr>
          <w:rFonts w:hint="eastAsia" w:hAnsi="方正小标宋简体" w:eastAsia="方正小标宋简体" w:cs="方正小标宋简体"/>
          <w:sz w:val="44"/>
          <w:szCs w:val="44"/>
          <w:lang w:val="en-US"/>
        </w:rPr>
        <w:t>行政处罚告知书</w:t>
      </w:r>
      <w:bookmarkEnd w:id="2"/>
    </w:p>
    <w:p w14:paraId="181F4EAC">
      <w:pPr>
        <w:spacing w:line="560" w:lineRule="exact"/>
        <w:jc w:val="center"/>
        <w:outlineLvl w:val="1"/>
        <w:rPr>
          <w:rFonts w:hint="eastAsia" w:ascii="Times New Roman" w:hAnsi="Times New Roman" w:eastAsia="仿宋_GB2312" w:cs="仿宋"/>
          <w:sz w:val="32"/>
          <w:szCs w:val="32"/>
        </w:rPr>
      </w:pPr>
      <w:r>
        <w:rPr>
          <w:rFonts w:hint="eastAsia" w:ascii="Times New Roman" w:hAnsi="Times New Roman" w:eastAsia="仿宋_GB2312" w:cs="仿宋"/>
          <w:sz w:val="32"/>
          <w:szCs w:val="32"/>
        </w:rPr>
        <w:t>新市监</w:t>
      </w:r>
      <w:r>
        <w:rPr>
          <w:rFonts w:hint="eastAsia" w:ascii="Times New Roman" w:hAnsi="Times New Roman" w:eastAsia="仿宋_GB2312" w:cs="仿宋"/>
          <w:sz w:val="32"/>
          <w:szCs w:val="32"/>
          <w:lang w:eastAsia="zh-CN"/>
        </w:rPr>
        <w:t>南城</w:t>
      </w:r>
      <w:r>
        <w:rPr>
          <w:rFonts w:hint="eastAsia" w:ascii="Times New Roman" w:hAnsi="Times New Roman" w:eastAsia="仿宋_GB2312" w:cs="仿宋"/>
          <w:sz w:val="32"/>
          <w:szCs w:val="32"/>
        </w:rPr>
        <w:t>罚告〔</w:t>
      </w:r>
      <w:r>
        <w:rPr>
          <w:rFonts w:hint="eastAsia" w:ascii="Times New Roman" w:hAnsi="Times New Roman" w:eastAsia="仿宋_GB2312" w:cs="仿宋"/>
          <w:sz w:val="32"/>
          <w:szCs w:val="32"/>
          <w:lang w:val="en-US" w:eastAsia="zh-CN"/>
        </w:rPr>
        <w:t>2024</w:t>
      </w:r>
      <w:r>
        <w:rPr>
          <w:rFonts w:hint="eastAsia" w:ascii="Times New Roman" w:hAnsi="Times New Roman" w:eastAsia="仿宋_GB2312" w:cs="仿宋"/>
          <w:sz w:val="32"/>
          <w:szCs w:val="32"/>
          <w:lang w:eastAsia="zh-CN"/>
        </w:rPr>
        <w:t>〕3508020001202410160006号</w:t>
      </w:r>
    </w:p>
    <w:p w14:paraId="393B2B77">
      <w:pPr>
        <w:widowControl w:val="0"/>
        <w:wordWrap/>
        <w:adjustRightInd/>
        <w:snapToGrid/>
        <w:spacing w:before="0" w:after="0" w:line="460" w:lineRule="exact"/>
        <w:ind w:right="0"/>
        <w:jc w:val="both"/>
        <w:textAlignment w:val="auto"/>
        <w:outlineLvl w:val="9"/>
        <w:rPr>
          <w:rFonts w:hint="eastAsia" w:ascii="Times New Roman" w:hAnsi="Times New Roman" w:eastAsia="仿宋_GB2312" w:cs="仿宋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  <w:lang w:eastAsia="zh-CN"/>
        </w:rPr>
        <w:t>龙岩市新罗区思语教育咨询有限公司</w:t>
      </w:r>
      <w:r>
        <w:rPr>
          <w:rFonts w:hint="eastAsia" w:ascii="Times New Roman" w:hAnsi="Times New Roman" w:eastAsia="仿宋_GB2312" w:cs="仿宋"/>
          <w:sz w:val="32"/>
          <w:szCs w:val="32"/>
        </w:rPr>
        <w:t>：</w:t>
      </w:r>
    </w:p>
    <w:p w14:paraId="25B8BF4A">
      <w:pPr>
        <w:widowControl w:val="0"/>
        <w:wordWrap/>
        <w:adjustRightInd/>
        <w:snapToGrid/>
        <w:spacing w:before="0" w:after="0" w:line="460" w:lineRule="exact"/>
        <w:ind w:left="0" w:leftChars="0" w:right="0" w:firstLine="640" w:firstLineChars="200"/>
        <w:jc w:val="both"/>
        <w:textAlignment w:val="auto"/>
        <w:outlineLvl w:val="9"/>
        <w:rPr>
          <w:rFonts w:hint="eastAsia" w:ascii="Times New Roman" w:hAnsi="Times New Roman" w:eastAsia="仿宋_GB2312" w:cs="仿宋"/>
          <w:sz w:val="32"/>
          <w:szCs w:val="32"/>
        </w:rPr>
      </w:pPr>
      <w:r>
        <w:rPr>
          <w:rFonts w:hint="eastAsia" w:ascii="Times New Roman" w:hAnsi="Times New Roman" w:eastAsia="仿宋_GB2312" w:cs="仿宋"/>
          <w:sz w:val="32"/>
          <w:szCs w:val="32"/>
          <w:lang w:val="en-US" w:eastAsia="zh-CN"/>
        </w:rPr>
        <w:t xml:space="preserve"> </w:t>
      </w:r>
      <w:r>
        <w:rPr>
          <w:rFonts w:hint="eastAsia" w:ascii="Times New Roman" w:hAnsi="Times New Roman" w:eastAsia="仿宋_GB2312" w:cs="仿宋"/>
          <w:sz w:val="32"/>
          <w:szCs w:val="32"/>
        </w:rPr>
        <w:t>由本局立案调查的你（单位）涉嫌</w:t>
      </w:r>
      <w:r>
        <w:rPr>
          <w:rFonts w:hint="eastAsia" w:ascii="仿宋_GB2312" w:eastAsia="仿宋_GB2312"/>
          <w:sz w:val="32"/>
          <w:szCs w:val="32"/>
        </w:rPr>
        <w:t>开业后自行停业连续六个月以上</w:t>
      </w:r>
      <w:r>
        <w:rPr>
          <w:rFonts w:hint="eastAsia" w:ascii="Times New Roman" w:hAnsi="Times New Roman" w:eastAsia="仿宋_GB2312" w:cs="仿宋"/>
          <w:sz w:val="32"/>
          <w:szCs w:val="32"/>
        </w:rPr>
        <w:t>一案，已调查终结。依据《中华人民共和国行政处罚法》第四十四条的规定，现将本局拟作出行政处罚的内容及事实、理由、依据告知如下：</w:t>
      </w:r>
    </w:p>
    <w:p w14:paraId="6E73B670">
      <w:pPr>
        <w:widowControl w:val="0"/>
        <w:wordWrap/>
        <w:adjustRightInd/>
        <w:snapToGrid/>
        <w:spacing w:before="0" w:after="0" w:line="460" w:lineRule="exact"/>
        <w:ind w:left="0" w:leftChars="0" w:right="0" w:firstLine="640" w:firstLineChars="200"/>
        <w:jc w:val="both"/>
        <w:textAlignment w:val="auto"/>
        <w:outlineLvl w:val="9"/>
        <w:rPr>
          <w:rFonts w:hint="eastAsia" w:ascii="仿宋_GB2312" w:eastAsia="仿宋_GB2312"/>
          <w:sz w:val="32"/>
          <w:szCs w:val="32"/>
        </w:rPr>
      </w:pPr>
      <w:r>
        <w:rPr>
          <w:rFonts w:hint="eastAsia" w:ascii="Times New Roman" w:hAnsi="Times New Roman" w:eastAsia="仿宋_GB2312" w:cs="仿宋"/>
          <w:sz w:val="32"/>
          <w:szCs w:val="32"/>
        </w:rPr>
        <w:t>经查明：</w:t>
      </w:r>
      <w:r>
        <w:rPr>
          <w:rFonts w:hint="eastAsia" w:ascii="仿宋_GB2312" w:eastAsia="仿宋_GB2312"/>
          <w:sz w:val="32"/>
          <w:szCs w:val="32"/>
        </w:rPr>
        <w:t>1. 当事人于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2021</w:t>
      </w:r>
      <w:r>
        <w:rPr>
          <w:rFonts w:hint="eastAsia" w:ascii="仿宋_GB2312" w:eastAsia="仿宋_GB2312"/>
          <w:sz w:val="32"/>
          <w:szCs w:val="32"/>
        </w:rPr>
        <w:t>年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07</w:t>
      </w:r>
      <w:r>
        <w:rPr>
          <w:rFonts w:hint="eastAsia" w:ascii="仿宋_GB2312" w:eastAsia="仿宋_GB2312"/>
          <w:sz w:val="32"/>
          <w:szCs w:val="32"/>
        </w:rPr>
        <w:t>月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06</w:t>
      </w:r>
      <w:r>
        <w:rPr>
          <w:rFonts w:hint="eastAsia" w:ascii="仿宋_GB2312" w:eastAsia="仿宋_GB2312"/>
          <w:sz w:val="32"/>
          <w:szCs w:val="32"/>
        </w:rPr>
        <w:t>日成立，经新罗区税务局确认当事人至今未办理税务登记；2.当事人2022年、2023年</w:t>
      </w:r>
      <w:r>
        <w:rPr>
          <w:rFonts w:ascii="仿宋_GB2312" w:eastAsia="仿宋_GB2312"/>
          <w:sz w:val="32"/>
          <w:szCs w:val="32"/>
        </w:rPr>
        <w:t>未依法报送年度报告</w:t>
      </w:r>
      <w:r>
        <w:rPr>
          <w:rFonts w:hint="eastAsia" w:ascii="仿宋_GB2312" w:eastAsia="仿宋_GB2312"/>
          <w:sz w:val="32"/>
          <w:szCs w:val="32"/>
        </w:rPr>
        <w:t>，已被列入异常名录。3.2024年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8</w:t>
      </w:r>
      <w:r>
        <w:rPr>
          <w:rFonts w:hint="eastAsia" w:ascii="仿宋_GB2312" w:eastAsia="仿宋_GB2312"/>
          <w:sz w:val="32"/>
          <w:szCs w:val="32"/>
        </w:rPr>
        <w:t>月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29</w:t>
      </w:r>
      <w:r>
        <w:rPr>
          <w:rFonts w:hint="eastAsia" w:ascii="仿宋_GB2312" w:eastAsia="仿宋_GB2312"/>
          <w:sz w:val="32"/>
          <w:szCs w:val="32"/>
        </w:rPr>
        <w:t>日、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9月10</w:t>
      </w:r>
      <w:r>
        <w:rPr>
          <w:rFonts w:hint="eastAsia" w:ascii="仿宋_GB2312" w:eastAsia="仿宋_GB2312"/>
          <w:sz w:val="32"/>
          <w:szCs w:val="32"/>
        </w:rPr>
        <w:t>日和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10月09</w:t>
      </w:r>
      <w:r>
        <w:rPr>
          <w:rFonts w:hint="eastAsia" w:ascii="仿宋_GB2312" w:eastAsia="仿宋_GB2312"/>
          <w:sz w:val="32"/>
          <w:szCs w:val="32"/>
        </w:rPr>
        <w:t>日市场主体实地核查，当事人未在登记住所从事经营活动，11月2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5</w:t>
      </w:r>
      <w:r>
        <w:rPr>
          <w:rFonts w:hint="eastAsia" w:ascii="仿宋_GB2312" w:eastAsia="仿宋_GB2312"/>
          <w:sz w:val="32"/>
          <w:szCs w:val="32"/>
        </w:rPr>
        <w:t>日短信通知法定代表</w:t>
      </w:r>
      <w:r>
        <w:rPr>
          <w:rFonts w:hint="eastAsia" w:ascii="仿宋_GB2312" w:eastAsia="仿宋_GB2312"/>
          <w:sz w:val="32"/>
          <w:szCs w:val="32"/>
          <w:lang w:eastAsia="zh-CN"/>
        </w:rPr>
        <w:t>吕芳艳（电话：***********</w:t>
      </w:r>
      <w:bookmarkStart w:id="3" w:name="_GoBack"/>
      <w:bookmarkEnd w:id="3"/>
      <w:r>
        <w:rPr>
          <w:rFonts w:hint="eastAsia" w:ascii="仿宋_GB2312" w:eastAsia="仿宋_GB2312"/>
          <w:sz w:val="32"/>
          <w:szCs w:val="32"/>
          <w:lang w:eastAsia="zh-CN"/>
        </w:rPr>
        <w:t>）</w:t>
      </w:r>
      <w:r>
        <w:rPr>
          <w:rFonts w:hint="eastAsia" w:ascii="仿宋_GB2312" w:eastAsia="仿宋_GB2312"/>
          <w:sz w:val="32"/>
          <w:szCs w:val="32"/>
        </w:rPr>
        <w:t>到办案机构调查，至今无回复。</w:t>
      </w:r>
    </w:p>
    <w:p w14:paraId="46EBED2A">
      <w:pPr>
        <w:widowControl w:val="0"/>
        <w:wordWrap/>
        <w:adjustRightInd/>
        <w:snapToGrid/>
        <w:spacing w:before="0" w:after="0" w:line="460" w:lineRule="exact"/>
        <w:ind w:left="0" w:leftChars="0" w:right="0" w:firstLine="640" w:firstLineChars="200"/>
        <w:jc w:val="both"/>
        <w:textAlignment w:val="auto"/>
        <w:outlineLvl w:val="9"/>
        <w:rPr>
          <w:rFonts w:hint="eastAsia"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当事人自成立至今未办理税务信息确认、未办理2022、2023年度的年报，且未在登记住所从事经营活动，属于《公司法》第二百一十一条规定的“开业后自行停业连续六个月以上的”的行为，根据《公司法》第二百一十一条“公司成立后无正当理由超过六个月未开业的，或者开业后自行停业连续六个月以上的，可以由公司登记机关吊销营业执照。”的规定，</w:t>
      </w:r>
      <w:r>
        <w:rPr>
          <w:rFonts w:hint="eastAsia" w:ascii="仿宋_GB2312" w:eastAsia="仿宋_GB2312"/>
          <w:sz w:val="32"/>
          <w:szCs w:val="32"/>
          <w:lang w:eastAsia="zh-CN"/>
        </w:rPr>
        <w:t>拟</w:t>
      </w:r>
      <w:r>
        <w:rPr>
          <w:rFonts w:hint="eastAsia" w:ascii="仿宋_GB2312" w:eastAsia="仿宋_GB2312"/>
          <w:sz w:val="32"/>
          <w:szCs w:val="32"/>
        </w:rPr>
        <w:t>对当事人作如下处罚：吊销当事人的营业执照。</w:t>
      </w:r>
    </w:p>
    <w:p w14:paraId="10EB0E1A">
      <w:pPr>
        <w:widowControl w:val="0"/>
        <w:wordWrap/>
        <w:adjustRightInd/>
        <w:snapToGrid/>
        <w:spacing w:before="0" w:after="0" w:line="460" w:lineRule="exact"/>
        <w:ind w:left="0" w:leftChars="0" w:right="0" w:firstLine="640" w:firstLineChars="200"/>
        <w:jc w:val="both"/>
        <w:textAlignment w:val="auto"/>
        <w:outlineLvl w:val="9"/>
        <w:rPr>
          <w:rFonts w:hint="eastAsia" w:ascii="Times New Roman" w:hAnsi="Times New Roman" w:eastAsia="仿宋_GB2312" w:cs="仿宋"/>
          <w:sz w:val="32"/>
          <w:szCs w:val="32"/>
        </w:rPr>
      </w:pPr>
      <w:r>
        <w:rPr>
          <w:rFonts w:hint="eastAsia" w:ascii="Times New Roman" w:hAnsi="Times New Roman" w:eastAsia="仿宋_GB2312" w:cs="仿宋"/>
          <w:sz w:val="32"/>
          <w:szCs w:val="32"/>
        </w:rPr>
        <w:t>依据《中华人民共和国行政处罚法》第四十四条、第四十五条，以及《市场监督管理行政处罚程序规定》第五十七条第二款的规定，你（单位）有权进行陈述、申辩。自收到本告知书之日起五个工作日内未行使陈述、申辩权的，视为放弃此权利。</w:t>
      </w:r>
    </w:p>
    <w:p w14:paraId="6918BDB9">
      <w:pPr>
        <w:widowControl w:val="0"/>
        <w:wordWrap/>
        <w:adjustRightInd/>
        <w:snapToGrid/>
        <w:spacing w:before="0" w:after="0" w:line="460" w:lineRule="exact"/>
        <w:ind w:left="0" w:leftChars="0" w:right="0" w:firstLine="640" w:firstLineChars="200"/>
        <w:jc w:val="both"/>
        <w:textAlignment w:val="auto"/>
        <w:outlineLvl w:val="9"/>
        <w:rPr>
          <w:rFonts w:hint="eastAsia" w:ascii="Times New Roman" w:hAnsi="Times New Roman" w:eastAsia="仿宋_GB2312" w:cs="仿宋"/>
          <w:sz w:val="32"/>
          <w:szCs w:val="32"/>
          <w:lang w:eastAsia="zh-CN"/>
        </w:rPr>
      </w:pPr>
      <w:r>
        <w:rPr>
          <w:rFonts w:hint="eastAsia" w:ascii="Times New Roman" w:hAnsi="Times New Roman" w:eastAsia="仿宋_GB2312" w:cs="仿宋"/>
          <w:sz w:val="32"/>
          <w:szCs w:val="32"/>
          <w:lang w:eastAsia="zh-CN"/>
        </w:rPr>
        <w:t>依据《中华人民共和国行政处罚法》第四十四条、第六十三条、第六十四条，以及《市场监督管理行政处罚听证办法》第五条的规定，你（单位）有权进行陈述、申辩，并可要求举行听证。你（单位）自收到本告知书之日起五个工作日内，未行使陈述、申辩权，未要求举行听证的，视为放弃此权利。</w:t>
      </w:r>
    </w:p>
    <w:p w14:paraId="7A793DDB">
      <w:pPr>
        <w:spacing w:line="500" w:lineRule="exact"/>
        <w:ind w:firstLine="640" w:firstLineChars="200"/>
        <w:rPr>
          <w:rFonts w:hint="eastAsia" w:ascii="Times New Roman" w:hAnsi="Times New Roman" w:eastAsia="仿宋_GB2312" w:cs="仿宋"/>
          <w:sz w:val="32"/>
          <w:szCs w:val="32"/>
          <w:lang w:eastAsia="zh-CN"/>
        </w:rPr>
      </w:pPr>
    </w:p>
    <w:p w14:paraId="1694B35F">
      <w:pPr>
        <w:spacing w:line="520" w:lineRule="exact"/>
        <w:ind w:firstLine="640" w:firstLineChars="200"/>
        <w:rPr>
          <w:rFonts w:ascii="仿宋_GB2312" w:hAnsi="Times New Roman" w:eastAsia="仿宋_GB2312" w:cs="仿宋"/>
          <w:color w:val="000000"/>
          <w:sz w:val="32"/>
          <w:szCs w:val="32"/>
          <w:u w:val="single"/>
        </w:rPr>
      </w:pPr>
      <w:r>
        <w:rPr>
          <w:rFonts w:hint="eastAsia" w:ascii="Times New Roman" w:hAnsi="Times New Roman" w:eastAsia="仿宋_GB2312" w:cs="仿宋"/>
          <w:sz w:val="32"/>
          <w:szCs w:val="32"/>
        </w:rPr>
        <w:t>联系人：</w:t>
      </w:r>
      <w:r>
        <w:rPr>
          <w:rFonts w:hint="eastAsia" w:ascii="Times New Roman" w:hAnsi="Times New Roman" w:eastAsia="仿宋_GB2312" w:cs="仿宋"/>
          <w:sz w:val="32"/>
          <w:szCs w:val="32"/>
          <w:u w:val="single"/>
        </w:rPr>
        <w:t xml:space="preserve"> </w:t>
      </w:r>
      <w:r>
        <w:rPr>
          <w:rFonts w:hint="eastAsia" w:ascii="仿宋_GB2312" w:hAnsi="仿宋" w:eastAsia="仿宋_GB2312" w:cs="仿宋"/>
          <w:sz w:val="32"/>
          <w:szCs w:val="32"/>
          <w:u w:val="single"/>
          <w:lang w:val="en-US" w:eastAsia="zh-CN"/>
        </w:rPr>
        <w:t>许智明、廖璘璘</w:t>
      </w:r>
      <w:r>
        <w:rPr>
          <w:rFonts w:hint="eastAsia" w:ascii="Times New Roman" w:hAnsi="Times New Roman" w:eastAsia="仿宋_GB2312" w:cs="仿宋"/>
          <w:sz w:val="32"/>
          <w:szCs w:val="32"/>
          <w:u w:val="single"/>
        </w:rPr>
        <w:t xml:space="preserve"> </w:t>
      </w:r>
      <w:r>
        <w:rPr>
          <w:rFonts w:hint="eastAsia" w:ascii="Times New Roman" w:hAnsi="Times New Roman" w:eastAsia="仿宋_GB2312" w:cs="仿宋"/>
          <w:sz w:val="32"/>
          <w:szCs w:val="32"/>
        </w:rPr>
        <w:t>联系电话：</w:t>
      </w:r>
      <w:r>
        <w:rPr>
          <w:rFonts w:hint="eastAsia" w:ascii="仿宋_GB2312" w:hAnsi="仿宋" w:eastAsia="仿宋_GB2312" w:cs="仿宋"/>
          <w:sz w:val="32"/>
          <w:szCs w:val="32"/>
          <w:u w:val="single"/>
          <w:lang w:eastAsia="zh-CN"/>
        </w:rPr>
        <w:t xml:space="preserve"> 0597-</w:t>
      </w:r>
      <w:r>
        <w:rPr>
          <w:rFonts w:hint="eastAsia" w:ascii="仿宋_GB2312" w:hAnsi="仿宋" w:eastAsia="仿宋_GB2312" w:cs="仿宋"/>
          <w:sz w:val="32"/>
          <w:szCs w:val="32"/>
          <w:u w:val="single"/>
          <w:lang w:val="en-US" w:eastAsia="zh-CN"/>
        </w:rPr>
        <w:t>2321023</w:t>
      </w:r>
      <w:r>
        <w:rPr>
          <w:rFonts w:hint="eastAsia" w:ascii="仿宋_GB2312" w:hAnsi="仿宋" w:eastAsia="仿宋_GB2312" w:cs="仿宋"/>
          <w:sz w:val="32"/>
          <w:szCs w:val="32"/>
          <w:u w:val="single"/>
          <w:lang w:eastAsia="zh-CN"/>
        </w:rPr>
        <w:t xml:space="preserve">   </w:t>
      </w:r>
    </w:p>
    <w:p w14:paraId="78C95800">
      <w:pPr>
        <w:spacing w:line="520" w:lineRule="exact"/>
        <w:ind w:firstLine="640" w:firstLineChars="200"/>
        <w:rPr>
          <w:rFonts w:ascii="Times New Roman" w:hAnsi="Times New Roman" w:eastAsia="仿宋_GB2312" w:cs="仿宋"/>
          <w:color w:val="000000"/>
          <w:sz w:val="32"/>
          <w:szCs w:val="32"/>
          <w:shd w:val="pct10" w:color="auto" w:fill="FFFFFF"/>
        </w:rPr>
      </w:pPr>
      <w:r>
        <w:rPr>
          <w:rFonts w:hint="eastAsia" w:ascii="仿宋_GB2312" w:hAnsi="仿宋" w:eastAsia="仿宋_GB2312" w:cs="仿宋"/>
          <w:sz w:val="32"/>
          <w:szCs w:val="32"/>
        </w:rPr>
        <w:t>联系地址：</w:t>
      </w:r>
      <w:r>
        <w:rPr>
          <w:rFonts w:hint="eastAsia" w:ascii="仿宋_GB2312" w:hAnsi="仿宋" w:eastAsia="仿宋_GB2312" w:cs="仿宋"/>
          <w:sz w:val="32"/>
          <w:szCs w:val="32"/>
          <w:u w:val="single"/>
          <w:lang w:eastAsia="zh-CN"/>
        </w:rPr>
        <w:t>龙岩市新罗区南城夏商百货四楼南城市场监管所</w:t>
      </w:r>
      <w:r>
        <w:rPr>
          <w:rFonts w:hint="eastAsia" w:ascii="仿宋_GB2312" w:hAnsi="仿宋" w:eastAsia="仿宋_GB2312" w:cs="仿宋"/>
          <w:sz w:val="32"/>
          <w:szCs w:val="32"/>
          <w:u w:val="single"/>
        </w:rPr>
        <w:t xml:space="preserve">                                     </w:t>
      </w:r>
    </w:p>
    <w:p w14:paraId="0CF87F1D">
      <w:pPr>
        <w:spacing w:line="520" w:lineRule="exact"/>
        <w:ind w:right="640" w:firstLine="601"/>
        <w:jc w:val="right"/>
        <w:rPr>
          <w:rFonts w:hint="eastAsia" w:ascii="Times New Roman" w:hAnsi="Times New Roman" w:eastAsia="仿宋_GB2312" w:cs="Mongolian Baiti"/>
          <w:sz w:val="32"/>
          <w:szCs w:val="32"/>
        </w:rPr>
      </w:pPr>
    </w:p>
    <w:p w14:paraId="25ACE14F">
      <w:pPr>
        <w:spacing w:line="520" w:lineRule="exact"/>
        <w:ind w:right="640" w:firstLine="601"/>
        <w:jc w:val="right"/>
        <w:rPr>
          <w:rFonts w:ascii="Times New Roman" w:hAnsi="Times New Roman" w:eastAsia="仿宋_GB2312" w:cs="仿宋"/>
          <w:color w:val="000000"/>
          <w:sz w:val="32"/>
          <w:szCs w:val="32"/>
        </w:rPr>
      </w:pPr>
      <w:r>
        <w:rPr>
          <w:rFonts w:hint="eastAsia" w:ascii="Times New Roman" w:hAnsi="Times New Roman" w:eastAsia="仿宋_GB2312" w:cs="Mongolian Baiti"/>
          <w:sz w:val="32"/>
          <w:szCs w:val="32"/>
        </w:rPr>
        <w:t>龙岩市新罗区</w:t>
      </w:r>
      <w:r>
        <w:rPr>
          <w:rFonts w:hint="eastAsia" w:ascii="Times New Roman" w:hAnsi="Times New Roman" w:eastAsia="仿宋_GB2312" w:cs="仿宋"/>
          <w:color w:val="000000"/>
          <w:sz w:val="32"/>
          <w:szCs w:val="32"/>
        </w:rPr>
        <w:t xml:space="preserve">市场监督管理局    </w:t>
      </w:r>
    </w:p>
    <w:p w14:paraId="5B417B81">
      <w:pPr>
        <w:spacing w:line="520" w:lineRule="exact"/>
        <w:ind w:firstLine="601"/>
        <w:jc w:val="center"/>
        <w:outlineLvl w:val="1"/>
        <w:rPr>
          <w:rFonts w:ascii="Times New Roman" w:hAnsi="Times New Roman" w:eastAsia="仿宋_GB2312" w:cs="仿宋"/>
          <w:color w:val="000000"/>
          <w:sz w:val="32"/>
          <w:szCs w:val="32"/>
        </w:rPr>
      </w:pPr>
      <w:r>
        <w:rPr>
          <w:rFonts w:hint="eastAsia" w:ascii="Times New Roman" w:hAnsi="Times New Roman" w:eastAsia="仿宋_GB2312" w:cs="仿宋"/>
          <w:color w:val="000000"/>
          <w:sz w:val="32"/>
          <w:szCs w:val="32"/>
        </w:rPr>
        <w:t xml:space="preserve">                     （印 章）     </w:t>
      </w:r>
    </w:p>
    <w:p w14:paraId="647C4F99">
      <w:pPr>
        <w:spacing w:line="520" w:lineRule="exact"/>
        <w:ind w:right="1120" w:firstLine="600"/>
        <w:jc w:val="right"/>
        <w:rPr>
          <w:rFonts w:ascii="仿宋_GB2312" w:hAnsi="Times New Roman" w:eastAsia="仿宋_GB2312" w:cs="仿宋"/>
          <w:color w:val="000000"/>
          <w:sz w:val="32"/>
          <w:szCs w:val="32"/>
        </w:rPr>
      </w:pPr>
      <w:r>
        <w:rPr>
          <w:rFonts w:hint="eastAsia" w:ascii="仿宋_GB2312" w:hAnsi="Times New Roman" w:eastAsia="仿宋_GB2312" w:cs="仿宋"/>
          <w:color w:val="000000"/>
          <w:sz w:val="32"/>
          <w:szCs w:val="32"/>
          <w:lang w:val="en-US" w:eastAsia="zh-CN"/>
        </w:rPr>
        <w:t>2025</w:t>
      </w:r>
      <w:r>
        <w:rPr>
          <w:rFonts w:hint="eastAsia" w:ascii="仿宋_GB2312" w:hAnsi="Times New Roman" w:eastAsia="仿宋_GB2312" w:cs="仿宋"/>
          <w:color w:val="000000"/>
          <w:sz w:val="32"/>
          <w:szCs w:val="32"/>
        </w:rPr>
        <w:t>年</w:t>
      </w:r>
      <w:r>
        <w:rPr>
          <w:rFonts w:hint="eastAsia" w:ascii="仿宋_GB2312" w:hAnsi="Times New Roman" w:eastAsia="仿宋_GB2312" w:cs="仿宋"/>
          <w:color w:val="000000"/>
          <w:sz w:val="32"/>
          <w:szCs w:val="32"/>
          <w:lang w:val="en-US" w:eastAsia="zh-CN"/>
        </w:rPr>
        <w:t>01</w:t>
      </w:r>
      <w:r>
        <w:rPr>
          <w:rFonts w:hint="eastAsia" w:ascii="仿宋_GB2312" w:hAnsi="Times New Roman" w:eastAsia="仿宋_GB2312" w:cs="仿宋"/>
          <w:color w:val="000000"/>
          <w:sz w:val="32"/>
          <w:szCs w:val="32"/>
        </w:rPr>
        <w:t>月</w:t>
      </w:r>
      <w:r>
        <w:rPr>
          <w:rFonts w:hint="eastAsia" w:ascii="仿宋_GB2312" w:hAnsi="Times New Roman" w:eastAsia="仿宋_GB2312" w:cs="仿宋"/>
          <w:color w:val="000000"/>
          <w:sz w:val="32"/>
          <w:szCs w:val="32"/>
          <w:lang w:val="en-US" w:eastAsia="zh-CN"/>
        </w:rPr>
        <w:t>07</w:t>
      </w:r>
      <w:r>
        <w:rPr>
          <w:rFonts w:hint="eastAsia" w:ascii="仿宋_GB2312" w:hAnsi="Times New Roman" w:eastAsia="仿宋_GB2312" w:cs="仿宋"/>
          <w:color w:val="000000"/>
          <w:sz w:val="32"/>
          <w:szCs w:val="32"/>
        </w:rPr>
        <w:t>日</w:t>
      </w:r>
    </w:p>
    <w:p w14:paraId="7BB9C94F"/>
    <w:p w14:paraId="74475E8F"/>
    <w:p w14:paraId="2A9B0AEC"/>
    <w:p w14:paraId="713AEDEA"/>
    <w:p w14:paraId="039004DD"/>
    <w:p w14:paraId="1D917F89"/>
    <w:p w14:paraId="4D7C932B"/>
    <w:p w14:paraId="6D3020A4"/>
    <w:p w14:paraId="0C64525B"/>
    <w:p w14:paraId="5D3DE749"/>
    <w:p w14:paraId="193C1F43"/>
    <w:p w14:paraId="797B5640"/>
    <w:p w14:paraId="76DE057C"/>
    <w:p w14:paraId="1A00B02B"/>
    <w:p w14:paraId="6668941D"/>
    <w:p w14:paraId="4A94CC10"/>
    <w:p w14:paraId="228C6690"/>
    <w:p w14:paraId="0EFBBA35"/>
    <w:p w14:paraId="1C76EFE0"/>
    <w:p w14:paraId="21FEB607"/>
    <w:p w14:paraId="0F82BAFA"/>
    <w:p w14:paraId="6E4FC52B"/>
    <w:sectPr>
      <w:footerReference r:id="rId3" w:type="default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Mangal">
    <w:panose1 w:val="02040503050203030202"/>
    <w:charset w:val="00"/>
    <w:family w:val="auto"/>
    <w:pitch w:val="default"/>
    <w:sig w:usb0="00008003" w:usb1="00000000" w:usb2="00000000" w:usb3="00000000" w:csb0="00000001" w:csb1="00000000"/>
  </w:font>
  <w:font w:name="方正小标宋简体">
    <w:altName w:val="宋体"/>
    <w:panose1 w:val="03000509000000000000"/>
    <w:charset w:val="86"/>
    <w:family w:val="auto"/>
    <w:pitch w:val="default"/>
    <w:sig w:usb0="00000000" w:usb1="00000000" w:usb2="00000010" w:usb3="00000000" w:csb0="00040000" w:csb1="00000000"/>
  </w:font>
  <w:font w:name="仿宋_GB2312">
    <w:altName w:val="仿宋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Mongolian Baiti">
    <w:panose1 w:val="03000500000000000000"/>
    <w:charset w:val="00"/>
    <w:family w:val="auto"/>
    <w:pitch w:val="default"/>
    <w:sig w:usb0="80000023" w:usb1="00000000" w:usb2="0002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ECD3D21">
    <w:pPr>
      <w:wordWrap w:val="0"/>
      <w:spacing w:line="520" w:lineRule="exact"/>
      <w:rPr>
        <w:rFonts w:eastAsia="仿宋_GB2312" w:cs="仿宋"/>
        <w:bCs/>
        <w:color w:val="000000"/>
        <w:sz w:val="32"/>
        <w:szCs w:val="32"/>
      </w:rPr>
    </w:pPr>
    <w:r>
      <w:rPr>
        <w:rFonts w:hint="eastAsia"/>
        <w:lang w:eastAsia="zh-CN"/>
      </w:rPr>
      <w:tab/>
    </w:r>
    <w: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column">
                <wp:posOffset>-256540</wp:posOffset>
              </wp:positionH>
              <wp:positionV relativeFrom="paragraph">
                <wp:posOffset>229235</wp:posOffset>
              </wp:positionV>
              <wp:extent cx="5550535" cy="635"/>
              <wp:effectExtent l="0" t="0" r="0" b="0"/>
              <wp:wrapNone/>
              <wp:docPr id="3" name="直接连接符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5550535" cy="635"/>
                      </a:xfrm>
                      <a:prstGeom prst="line">
                        <a:avLst/>
                      </a:prstGeom>
                      <a:ln w="15875" cap="flat" cmpd="sng">
                        <a:solidFill>
                          <a:srgbClr val="000000"/>
                        </a:solidFill>
                        <a:prstDash val="solid"/>
                        <a:headEnd type="none" w="med" len="med"/>
                        <a:tailEnd type="none" w="med" len="med"/>
                      </a:ln>
                    </wps:spPr>
                    <wps:bodyPr upright="1"/>
                  </wps:wsp>
                </a:graphicData>
              </a:graphic>
            </wp:anchor>
          </w:drawing>
        </mc:Choice>
        <mc:Fallback>
          <w:pict>
            <v:line id="_x0000_s1026" o:spid="_x0000_s1026" o:spt="20" style="position:absolute;left:0pt;margin-left:-20.2pt;margin-top:18.05pt;height:0.05pt;width:437.05pt;z-index:251660288;mso-width-relative:page;mso-height-relative:page;" filled="f" stroked="t" coordsize="21600,21600" o:gfxdata="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">
              <v:fill on="f" focussize="0,0"/>
              <v:stroke weight="1.25pt" color="#000000" joinstyle="round"/>
              <v:imagedata o:title=""/>
              <o:lock v:ext="edit" aspectratio="f"/>
            </v:line>
          </w:pict>
        </mc:Fallback>
      </mc:AlternateContent>
    </w:r>
  </w:p>
  <w:p w14:paraId="164422F9">
    <w:pPr>
      <w:wordWrap w:val="0"/>
      <w:spacing w:line="520" w:lineRule="exact"/>
      <w:jc w:val="center"/>
      <w:rPr>
        <w:rFonts w:hint="eastAsia"/>
        <w:sz w:val="28"/>
        <w:szCs w:val="28"/>
      </w:rPr>
    </w:pPr>
    <w: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0</wp:posOffset>
              </wp:positionH>
              <wp:positionV relativeFrom="paragraph">
                <wp:posOffset>1097915</wp:posOffset>
              </wp:positionV>
              <wp:extent cx="5762625" cy="1270"/>
              <wp:effectExtent l="0" t="0" r="0" b="0"/>
              <wp:wrapNone/>
              <wp:docPr id="4" name="直接连接符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5762625" cy="1270"/>
                      </a:xfrm>
                      <a:prstGeom prst="line">
                        <a:avLst/>
                      </a:prstGeom>
                      <a:ln w="9360" cap="sq" cmpd="sng">
                        <a:solidFill>
                          <a:srgbClr val="000000"/>
                        </a:solidFill>
                        <a:prstDash val="solid"/>
                        <a:headEnd type="none" w="med" len="med"/>
                        <a:tailEnd type="none" w="med" len="med"/>
                      </a:ln>
                    </wps:spPr>
                    <wps:bodyPr upright="1"/>
                  </wps:wsp>
                </a:graphicData>
              </a:graphic>
            </wp:anchor>
          </w:drawing>
        </mc:Choice>
        <mc:Fallback>
          <w:pict>
            <v:line id="_x0000_s1026" o:spid="_x0000_s1026" o:spt="20" style="position:absolute;left:0pt;margin-left:0pt;margin-top:86.45pt;height:0.1pt;width:453.75pt;z-index:251659264;mso-width-relative:page;mso-height-relative:page;" filled="f" stroked="t" coordsize="21600,21600" o:gfxdata="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">
              <v:fill on="f" focussize="0,0"/>
              <v:stroke weight="0.737007874015748pt" color="#000000" joinstyle="round" endcap="square"/>
              <v:imagedata o:title=""/>
              <o:lock v:ext="edit" aspectratio="f"/>
            </v:line>
          </w:pict>
        </mc:Fallback>
      </mc:AlternateContent>
    </w:r>
    <w:r>
      <w:rPr>
        <w:rFonts w:hint="eastAsia" w:eastAsia="仿宋_GB2312" w:cs="仿宋"/>
        <w:color w:val="000000"/>
        <w:sz w:val="32"/>
        <w:szCs w:val="32"/>
      </w:rPr>
      <w:t>本文书一式</w:t>
    </w:r>
    <w:r>
      <w:rPr>
        <w:rFonts w:hint="eastAsia" w:eastAsia="仿宋_GB2312" w:cs="仿宋"/>
        <w:color w:val="000000"/>
        <w:sz w:val="32"/>
        <w:szCs w:val="32"/>
        <w:u w:val="single"/>
      </w:rPr>
      <w:t>贰</w:t>
    </w:r>
    <w:r>
      <w:rPr>
        <w:rFonts w:hint="eastAsia" w:eastAsia="仿宋_GB2312" w:cs="仿宋"/>
        <w:color w:val="000000"/>
        <w:sz w:val="32"/>
        <w:szCs w:val="32"/>
      </w:rPr>
      <w:t>份，</w:t>
    </w:r>
    <w:r>
      <w:rPr>
        <w:rFonts w:hint="eastAsia" w:eastAsia="仿宋_GB2312" w:cs="仿宋"/>
        <w:color w:val="000000"/>
        <w:sz w:val="32"/>
        <w:szCs w:val="32"/>
        <w:u w:val="single"/>
      </w:rPr>
      <w:t>壹</w:t>
    </w:r>
    <w:r>
      <w:rPr>
        <w:rFonts w:hint="eastAsia" w:eastAsia="仿宋_GB2312" w:cs="仿宋"/>
        <w:color w:val="000000"/>
        <w:sz w:val="32"/>
        <w:szCs w:val="32"/>
      </w:rPr>
      <w:t>份送达，壹份归档。</w:t>
    </w:r>
  </w:p>
  <w:p w14:paraId="25064B57">
    <w:pPr>
      <w:pStyle w:val="3"/>
    </w:pP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00000008"/>
    <w:multiLevelType w:val="multilevel"/>
    <w:tmpl w:val="00000008"/>
    <w:lvl w:ilvl="0" w:tentative="0">
      <w:start w:val="1"/>
      <w:numFmt w:val="none"/>
      <w:suff w:val="nothing"/>
      <w:lvlText w:val=""/>
      <w:lvlJc w:val="left"/>
      <w:pPr>
        <w:tabs>
          <w:tab w:val="left" w:pos="0"/>
        </w:tabs>
        <w:ind w:left="0" w:firstLine="0"/>
      </w:pPr>
    </w:lvl>
    <w:lvl w:ilvl="1" w:tentative="0">
      <w:start w:val="1"/>
      <w:numFmt w:val="none"/>
      <w:suff w:val="nothing"/>
      <w:lvlText w:val=""/>
      <w:lvlJc w:val="left"/>
      <w:pPr>
        <w:tabs>
          <w:tab w:val="left" w:pos="0"/>
        </w:tabs>
        <w:ind w:left="0" w:firstLine="0"/>
      </w:pPr>
    </w:lvl>
    <w:lvl w:ilvl="2" w:tentative="0">
      <w:start w:val="1"/>
      <w:numFmt w:val="none"/>
      <w:suff w:val="nothing"/>
      <w:lvlText w:val=""/>
      <w:lvlJc w:val="left"/>
      <w:pPr>
        <w:tabs>
          <w:tab w:val="left" w:pos="0"/>
        </w:tabs>
        <w:ind w:left="0" w:firstLine="0"/>
      </w:pPr>
    </w:lvl>
    <w:lvl w:ilvl="3" w:tentative="0">
      <w:start w:val="1"/>
      <w:numFmt w:val="none"/>
      <w:suff w:val="nothing"/>
      <w:lvlText w:val=""/>
      <w:lvlJc w:val="left"/>
      <w:pPr>
        <w:tabs>
          <w:tab w:val="left" w:pos="0"/>
        </w:tabs>
        <w:ind w:left="0" w:firstLine="0"/>
      </w:pPr>
    </w:lvl>
    <w:lvl w:ilvl="4" w:tentative="0">
      <w:start w:val="1"/>
      <w:numFmt w:val="none"/>
      <w:suff w:val="nothing"/>
      <w:lvlText w:val=""/>
      <w:lvlJc w:val="left"/>
      <w:pPr>
        <w:tabs>
          <w:tab w:val="left" w:pos="0"/>
        </w:tabs>
        <w:ind w:left="0" w:firstLine="0"/>
      </w:pPr>
    </w:lvl>
    <w:lvl w:ilvl="5" w:tentative="0">
      <w:start w:val="1"/>
      <w:numFmt w:val="none"/>
      <w:suff w:val="nothing"/>
      <w:lvlText w:val=""/>
      <w:lvlJc w:val="left"/>
      <w:pPr>
        <w:tabs>
          <w:tab w:val="left" w:pos="0"/>
        </w:tabs>
        <w:ind w:left="0" w:firstLine="0"/>
      </w:pPr>
    </w:lvl>
    <w:lvl w:ilvl="6" w:tentative="0">
      <w:start w:val="1"/>
      <w:numFmt w:val="none"/>
      <w:suff w:val="nothing"/>
      <w:lvlText w:val=""/>
      <w:lvlJc w:val="left"/>
      <w:pPr>
        <w:tabs>
          <w:tab w:val="left" w:pos="0"/>
        </w:tabs>
        <w:ind w:left="0" w:firstLine="0"/>
      </w:pPr>
    </w:lvl>
    <w:lvl w:ilvl="7" w:tentative="0">
      <w:start w:val="1"/>
      <w:numFmt w:val="none"/>
      <w:suff w:val="nothing"/>
      <w:lvlText w:val=""/>
      <w:lvlJc w:val="left"/>
      <w:pPr>
        <w:tabs>
          <w:tab w:val="left" w:pos="0"/>
        </w:tabs>
        <w:ind w:left="0" w:firstLine="0"/>
      </w:pPr>
    </w:lvl>
    <w:lvl w:ilvl="8" w:tentative="0">
      <w:start w:val="1"/>
      <w:numFmt w:val="none"/>
      <w:suff w:val="nothing"/>
      <w:lvlText w:val=""/>
      <w:lvlJc w:val="left"/>
      <w:pPr>
        <w:tabs>
          <w:tab w:val="left" w:pos="0"/>
        </w:tabs>
        <w:ind w:left="0" w:firstLine="0"/>
      </w:pPr>
    </w:lvl>
  </w:abstractNum>
  <w:abstractNum w:abstractNumId="1">
    <w:nsid w:val="0000000A"/>
    <w:multiLevelType w:val="multilevel"/>
    <w:tmpl w:val="0000000A"/>
    <w:lvl w:ilvl="0" w:tentative="0">
      <w:start w:val="1"/>
      <w:numFmt w:val="none"/>
      <w:pStyle w:val="2"/>
      <w:suff w:val="nothing"/>
      <w:lvlText w:val=""/>
      <w:lvlJc w:val="left"/>
      <w:pPr>
        <w:tabs>
          <w:tab w:val="left" w:pos="0"/>
        </w:tabs>
        <w:ind w:left="0" w:firstLine="0"/>
      </w:pPr>
    </w:lvl>
    <w:lvl w:ilvl="1" w:tentative="0">
      <w:start w:val="1"/>
      <w:numFmt w:val="none"/>
      <w:suff w:val="nothing"/>
      <w:lvlText w:val=""/>
      <w:lvlJc w:val="left"/>
      <w:pPr>
        <w:tabs>
          <w:tab w:val="left" w:pos="0"/>
        </w:tabs>
        <w:ind w:left="0" w:firstLine="0"/>
      </w:pPr>
    </w:lvl>
    <w:lvl w:ilvl="2" w:tentative="0">
      <w:start w:val="1"/>
      <w:numFmt w:val="none"/>
      <w:suff w:val="nothing"/>
      <w:lvlText w:val=""/>
      <w:lvlJc w:val="left"/>
      <w:pPr>
        <w:tabs>
          <w:tab w:val="left" w:pos="0"/>
        </w:tabs>
        <w:ind w:left="0" w:firstLine="0"/>
      </w:pPr>
    </w:lvl>
    <w:lvl w:ilvl="3" w:tentative="0">
      <w:start w:val="1"/>
      <w:numFmt w:val="none"/>
      <w:suff w:val="nothing"/>
      <w:lvlText w:val=""/>
      <w:lvlJc w:val="left"/>
      <w:pPr>
        <w:tabs>
          <w:tab w:val="left" w:pos="0"/>
        </w:tabs>
        <w:ind w:left="0" w:firstLine="0"/>
      </w:pPr>
    </w:lvl>
    <w:lvl w:ilvl="4" w:tentative="0">
      <w:start w:val="1"/>
      <w:numFmt w:val="none"/>
      <w:suff w:val="nothing"/>
      <w:lvlText w:val=""/>
      <w:lvlJc w:val="left"/>
      <w:pPr>
        <w:tabs>
          <w:tab w:val="left" w:pos="0"/>
        </w:tabs>
        <w:ind w:left="0" w:firstLine="0"/>
      </w:pPr>
    </w:lvl>
    <w:lvl w:ilvl="5" w:tentative="0">
      <w:start w:val="1"/>
      <w:numFmt w:val="none"/>
      <w:suff w:val="nothing"/>
      <w:lvlText w:val=""/>
      <w:lvlJc w:val="left"/>
      <w:pPr>
        <w:tabs>
          <w:tab w:val="left" w:pos="0"/>
        </w:tabs>
        <w:ind w:left="0" w:firstLine="0"/>
      </w:pPr>
    </w:lvl>
    <w:lvl w:ilvl="6" w:tentative="0">
      <w:start w:val="1"/>
      <w:numFmt w:val="none"/>
      <w:suff w:val="nothing"/>
      <w:lvlText w:val=""/>
      <w:lvlJc w:val="left"/>
      <w:pPr>
        <w:tabs>
          <w:tab w:val="left" w:pos="0"/>
        </w:tabs>
        <w:ind w:left="0" w:firstLine="0"/>
      </w:pPr>
    </w:lvl>
    <w:lvl w:ilvl="7" w:tentative="0">
      <w:start w:val="1"/>
      <w:numFmt w:val="none"/>
      <w:suff w:val="nothing"/>
      <w:lvlText w:val=""/>
      <w:lvlJc w:val="left"/>
      <w:pPr>
        <w:tabs>
          <w:tab w:val="left" w:pos="0"/>
        </w:tabs>
        <w:ind w:left="0" w:firstLine="0"/>
      </w:pPr>
    </w:lvl>
    <w:lvl w:ilvl="8" w:tentative="0">
      <w:start w:val="1"/>
      <w:numFmt w:val="none"/>
      <w:suff w:val="nothing"/>
      <w:lvlText w:val=""/>
      <w:lvlJc w:val="left"/>
      <w:pPr>
        <w:tabs>
          <w:tab w:val="left" w:pos="0"/>
        </w:tabs>
        <w:ind w:left="0" w:firstLine="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DRjM2IzMDNlMmFkYzY3MDk3ODFjM2M0YTE3MmQ0YTUifQ=="/>
  </w:docVars>
  <w:rsids>
    <w:rsidRoot w:val="05D72DF7"/>
    <w:rsid w:val="05D72DF7"/>
    <w:rsid w:val="54D54897"/>
    <w:rsid w:val="671C33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keepNext/>
      <w:numPr>
        <w:ilvl w:val="0"/>
        <w:numId w:val="1"/>
      </w:numPr>
      <w:jc w:val="left"/>
      <w:outlineLvl w:val="0"/>
    </w:pPr>
    <w:rPr>
      <w:rFonts w:ascii="Times New Roman" w:hAnsi="Times New Roman" w:cs="Mangal"/>
      <w:color w:val="00000A"/>
      <w:sz w:val="24"/>
      <w:lang w:val="zh-CN"/>
    </w:rPr>
  </w:style>
  <w:style w:type="character" w:default="1" w:styleId="6">
    <w:name w:val="Default Paragraph Font"/>
    <w:semiHidden/>
    <w:uiPriority w:val="0"/>
  </w:style>
  <w:style w:type="table" w:default="1" w:styleId="5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4">
    <w:name w:val="header"/>
    <w:basedOn w:val="1"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Office_12.1.0.18276_F1E327BC-269C-435d-A152-05C5408002CA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2024-12-30T07:36:00Z</dcterms:created>
  <dc:creator>杨汉生</dc:creator>
  <cp:lastModifiedBy>杨汉生</cp:lastModifiedBy>
  <cp:lastPrinted>2025-01-06T07:01:00Z</cp:lastPrinted>
  <dcterms:modified xsi:type="dcterms:W3CDTF">2025-01-24T00:11:41Z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2052-12.1.0.18276</vt:lpwstr>
  </property>
  <property fmtid="{D5CDD505-2E9C-101B-9397-08002B2CF9AE}" pid="3" name="ICV">
    <vt:lpwstr>19B60EF7FC5E4767816B518D539EE01A_11</vt:lpwstr>
  </property>
</Properties>
</file>