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47672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】3508020001202409270003</w:t>
      </w:r>
      <w:r>
        <w:rPr>
          <w:rFonts w:hint="eastAsia" w:eastAsia="仿宋_GB2312"/>
          <w:sz w:val="32"/>
          <w:szCs w:val="32"/>
          <w:lang w:eastAsia="zh-CN"/>
        </w:rPr>
        <w:t>号</w:t>
      </w:r>
    </w:p>
    <w:p w14:paraId="42DC87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事人：龙岩市人阁贸易有限公司</w:t>
      </w:r>
    </w:p>
    <w:p w14:paraId="5CB394B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E6C3B5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w:t>
      </w:r>
      <w:r>
        <w:rPr>
          <w:rFonts w:ascii="仿宋_GB2312" w:eastAsia="仿宋_GB2312"/>
          <w:sz w:val="32"/>
          <w:szCs w:val="32"/>
        </w:rPr>
        <w:t>91350802MA31T6Y121</w:t>
      </w:r>
    </w:p>
    <w:p w14:paraId="3B49752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ascii="仿宋_GB2312" w:eastAsia="仿宋_GB2312"/>
          <w:sz w:val="32"/>
          <w:szCs w:val="32"/>
        </w:rPr>
      </w:pPr>
      <w:r>
        <w:rPr>
          <w:rFonts w:hint="eastAsia" w:eastAsia="仿宋_GB2312"/>
          <w:sz w:val="30"/>
          <w:szCs w:val="30"/>
          <w:lang w:eastAsia="zh-CN"/>
        </w:rPr>
        <w:t>住所：</w:t>
      </w:r>
      <w:r>
        <w:rPr>
          <w:rFonts w:hint="eastAsia" w:ascii="仿宋_GB2312" w:eastAsia="仿宋_GB2312"/>
          <w:sz w:val="32"/>
          <w:szCs w:val="32"/>
        </w:rPr>
        <w:t>：</w:t>
      </w:r>
      <w:r>
        <w:rPr>
          <w:rFonts w:ascii="仿宋_GB2312" w:eastAsia="仿宋_GB2312"/>
          <w:sz w:val="32"/>
          <w:szCs w:val="32"/>
        </w:rPr>
        <w:t>福建省龙岩市新罗区铁山镇洋头村三洋路2号东方三洋城3幢211号</w:t>
      </w:r>
    </w:p>
    <w:p w14:paraId="42172A9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ascii="仿宋_GB2312" w:eastAsia="仿宋_GB2312"/>
          <w:sz w:val="32"/>
          <w:szCs w:val="32"/>
          <w:lang w:eastAsia="zh-CN"/>
        </w:rPr>
        <w:t>关人阁</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7719B008">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宋体" w:hAnsi="宋体" w:eastAsia="仿宋_GB2312"/>
          <w:sz w:val="30"/>
          <w:szCs w:val="30"/>
          <w:lang w:eastAsia="zh-CN"/>
        </w:rPr>
      </w:pPr>
      <w:r>
        <w:rPr>
          <w:rFonts w:hint="eastAsia" w:ascii="仿宋_GB2312" w:eastAsia="仿宋_GB2312"/>
          <w:sz w:val="32"/>
          <w:szCs w:val="32"/>
        </w:rPr>
        <w:t>根据龙岩市新罗区市场监督管理局信用监督管理股2024年08月07日发布《</w:t>
      </w:r>
      <w:r>
        <w:rPr>
          <w:rFonts w:ascii="仿宋_GB2312" w:eastAsia="仿宋_GB2312"/>
          <w:sz w:val="32"/>
          <w:szCs w:val="32"/>
        </w:rPr>
        <w:t>关于开展清理长期停业未经营企业的通知</w:t>
      </w:r>
      <w:r>
        <w:rPr>
          <w:rFonts w:hint="eastAsia" w:ascii="仿宋_GB2312" w:eastAsia="仿宋_GB2312"/>
          <w:sz w:val="32"/>
          <w:szCs w:val="32"/>
        </w:rPr>
        <w:t>》（以下简称《通知》），执法人员对企业的经营情况进行核查，经实地核查，发现福建宇格工贸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09月27日立案调查</w:t>
      </w:r>
      <w:r>
        <w:rPr>
          <w:rFonts w:hint="eastAsia" w:ascii="宋体" w:hAnsi="宋体" w:eastAsia="仿宋_GB2312"/>
          <w:sz w:val="30"/>
          <w:szCs w:val="30"/>
          <w:lang w:eastAsia="zh-CN"/>
        </w:rPr>
        <w:t>。</w:t>
      </w:r>
    </w:p>
    <w:p w14:paraId="379E4DF8">
      <w:pPr>
        <w:keepNext w:val="0"/>
        <w:keepLines w:val="0"/>
        <w:pageBreakBefore w:val="0"/>
        <w:kinsoku/>
        <w:wordWrap/>
        <w:overflowPunct/>
        <w:topLinePunct w:val="0"/>
        <w:autoSpaceDE/>
        <w:autoSpaceDN/>
        <w:bidi w:val="0"/>
        <w:adjustRightInd/>
        <w:snapToGrid/>
        <w:spacing w:after="0" w:afterLines="0" w:line="480" w:lineRule="exact"/>
        <w:ind w:firstLine="643" w:firstLineChars="200"/>
        <w:jc w:val="both"/>
        <w:textAlignment w:val="auto"/>
        <w:outlineLvl w:val="9"/>
        <w:rPr>
          <w:rFonts w:hint="eastAsia" w:ascii="宋体" w:hAnsi="宋体" w:eastAsia="仿宋_GB2312"/>
          <w:sz w:val="30"/>
          <w:szCs w:val="30"/>
          <w:lang w:eastAsia="zh-CN"/>
        </w:rPr>
      </w:pPr>
      <w:r>
        <w:rPr>
          <w:rFonts w:hint="eastAsia" w:ascii="仿宋_GB2312" w:eastAsia="仿宋_GB2312"/>
          <w:b/>
          <w:sz w:val="32"/>
          <w:szCs w:val="32"/>
        </w:rPr>
        <w:t xml:space="preserve"> </w:t>
      </w:r>
      <w:r>
        <w:rPr>
          <w:rFonts w:hint="eastAsia" w:ascii="Times New Roman" w:hAnsi="Times New Roman" w:eastAsia="仿宋_GB2312" w:cs="仿宋"/>
          <w:sz w:val="32"/>
          <w:szCs w:val="32"/>
        </w:rPr>
        <w:t>经查明：</w:t>
      </w:r>
      <w:r>
        <w:rPr>
          <w:rFonts w:hint="eastAsia" w:ascii="仿宋_GB2312" w:eastAsia="仿宋_GB2312"/>
          <w:sz w:val="32"/>
          <w:szCs w:val="32"/>
        </w:rPr>
        <w:t>1. 当事人于2020年12月24日成立，经新罗区税务局确认当事人至今未办理税务登记；2.当事人2022年、2023年</w:t>
      </w:r>
      <w:r>
        <w:rPr>
          <w:rFonts w:ascii="仿宋_GB2312" w:eastAsia="仿宋_GB2312"/>
          <w:sz w:val="32"/>
          <w:szCs w:val="32"/>
        </w:rPr>
        <w:t>未依法报送年度报告</w:t>
      </w:r>
      <w:r>
        <w:rPr>
          <w:rFonts w:hint="eastAsia" w:ascii="仿宋_GB2312" w:eastAsia="仿宋_GB2312"/>
          <w:sz w:val="32"/>
          <w:szCs w:val="32"/>
        </w:rPr>
        <w:t>，已被列入异常名录。3.2024年8月21日、29日和9月5日市场主体实地核查，当事人未在登记住所从事经营活动，11月25日短信通知法定代表人关人阁（电话：</w:t>
      </w:r>
      <w:r>
        <w:rPr>
          <w:rFonts w:hint="eastAsia" w:eastAsia="仿宋_GB2312"/>
          <w:sz w:val="30"/>
          <w:szCs w:val="30"/>
          <w:lang w:eastAsia="zh-CN"/>
        </w:rPr>
        <w:t>***</w:t>
      </w:r>
      <w:r>
        <w:rPr>
          <w:rFonts w:hint="eastAsia" w:ascii="仿宋_GB2312" w:eastAsia="仿宋_GB2312"/>
          <w:sz w:val="32"/>
          <w:szCs w:val="32"/>
        </w:rPr>
        <w:t>）到办案机构调查，至今无回复。</w:t>
      </w:r>
    </w:p>
    <w:p w14:paraId="7F3346E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6BE795B">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w:t>
      </w:r>
      <w:r>
        <w:rPr>
          <w:rFonts w:hint="eastAsia" w:ascii="仿宋_GB2312" w:eastAsia="仿宋_GB2312"/>
          <w:sz w:val="32"/>
          <w:szCs w:val="32"/>
          <w:lang w:eastAsia="zh-CN"/>
        </w:rPr>
        <w:t>、短信发送通知截图。</w:t>
      </w:r>
    </w:p>
    <w:p w14:paraId="02279E5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12月26日，本局向当事人邮寄了《行政处罚告知书》（新市监南城告罚【2024】3508020001202409270003号），未能送达当事人，2025年2月11日本局通过龙岩市新罗区人民政府网站公示《行政处罚告知书》（新市监南城告罚【2024】3508020001202409270003号），当事人在法定期限内未提出陈述、申辩的要求。</w:t>
      </w:r>
    </w:p>
    <w:p w14:paraId="345D245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36B2DB0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A9DAAA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1FEAC7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9EBE65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02FC104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46AF1F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40BA488"/>
    <w:p w14:paraId="7D833E66"/>
    <w:p w14:paraId="19665F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37364292"/>
    <w:rsid w:val="76FA3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9CE7F574D7D4467FAF49968680B7A541_11</vt:lpwstr>
  </property>
</Properties>
</file>