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B8EEB">
      <w:pPr>
        <w:spacing w:line="64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bCs/>
          <w:sz w:val="44"/>
          <w:szCs w:val="44"/>
        </w:rPr>
        <w:t>龙岩市新罗区市场监督管理局</w:t>
      </w:r>
    </w:p>
    <w:p w14:paraId="44D671C9">
      <w:pPr>
        <w:pStyle w:val="2"/>
        <w:keepNext w:val="0"/>
        <w:numPr>
          <w:ilvl w:val="0"/>
          <w:numId w:val="2"/>
        </w:numPr>
        <w:spacing w:before="0" w:after="0" w:line="640" w:lineRule="exact"/>
        <w:jc w:val="center"/>
        <w:rPr>
          <w:rFonts w:eastAsia="方正小标宋简体" w:cs="方正小标宋简体"/>
          <w:sz w:val="44"/>
          <w:szCs w:val="44"/>
        </w:rPr>
      </w:pPr>
      <w:r>
        <w:rPr>
          <w:rFonts w:hint="eastAsia" w:eastAsia="方正小标宋简体" w:cs="方正小标宋简体"/>
          <w:sz w:val="44"/>
          <w:szCs w:val="44"/>
          <w:lang w:val="en-US"/>
        </w:rPr>
        <w:t>行政处罚告知书</w:t>
      </w:r>
    </w:p>
    <w:p w14:paraId="71D8107F">
      <w:pPr>
        <w:spacing w:line="520" w:lineRule="exact"/>
        <w:jc w:val="center"/>
        <w:rPr>
          <w:rFonts w:hint="eastAsia" w:ascii="楷体" w:hAnsi="楷体" w:eastAsia="楷体" w:cs="仿宋"/>
          <w:sz w:val="32"/>
          <w:szCs w:val="32"/>
        </w:rPr>
      </w:pPr>
      <w:r>
        <w:rPr>
          <w:rFonts w:hint="eastAsia" w:ascii="楷体" w:hAnsi="楷体" w:eastAsia="楷体" w:cs="仿宋"/>
          <w:sz w:val="32"/>
          <w:szCs w:val="32"/>
        </w:rPr>
        <w:t>新市监大队告字〔2025〕</w:t>
      </w:r>
      <w:bookmarkStart w:id="0" w:name="_Hlk201734741"/>
      <w:r>
        <w:rPr>
          <w:rFonts w:ascii="楷体" w:hAnsi="楷体" w:eastAsia="楷体" w:cs="仿宋"/>
          <w:sz w:val="32"/>
          <w:szCs w:val="32"/>
        </w:rPr>
        <w:t>3508020001202</w:t>
      </w:r>
      <w:r>
        <w:rPr>
          <w:rFonts w:hint="eastAsia" w:ascii="楷体" w:hAnsi="楷体" w:eastAsia="楷体" w:cs="仿宋"/>
          <w:sz w:val="32"/>
          <w:szCs w:val="32"/>
        </w:rPr>
        <w:t>40407</w:t>
      </w:r>
      <w:r>
        <w:rPr>
          <w:rFonts w:ascii="楷体" w:hAnsi="楷体" w:eastAsia="楷体" w:cs="仿宋"/>
          <w:sz w:val="32"/>
          <w:szCs w:val="32"/>
        </w:rPr>
        <w:t>00</w:t>
      </w:r>
      <w:bookmarkEnd w:id="0"/>
      <w:r>
        <w:rPr>
          <w:rFonts w:hint="eastAsia" w:ascii="楷体" w:hAnsi="楷体" w:eastAsia="楷体" w:cs="仿宋"/>
          <w:sz w:val="32"/>
          <w:szCs w:val="32"/>
        </w:rPr>
        <w:t>1号</w:t>
      </w:r>
    </w:p>
    <w:p w14:paraId="08FDDF3C">
      <w:pPr>
        <w:keepNext w:val="0"/>
        <w:keepLines w:val="0"/>
        <w:pageBreakBefore w:val="0"/>
        <w:widowControl w:val="0"/>
        <w:kinsoku/>
        <w:wordWrap/>
        <w:overflowPunct/>
        <w:topLinePunct w:val="0"/>
        <w:autoSpaceDE/>
        <w:autoSpaceDN/>
        <w:bidi w:val="0"/>
        <w:spacing w:line="560" w:lineRule="exact"/>
        <w:textAlignment w:val="auto"/>
        <w:rPr>
          <w:rFonts w:ascii="Times New Roman" w:hAnsi="Times New Roman" w:eastAsia="仿宋_GB2312" w:cs="仿宋"/>
          <w:b/>
          <w:bCs/>
          <w:sz w:val="32"/>
          <w:szCs w:val="32"/>
        </w:rPr>
      </w:pPr>
      <w:r>
        <w:rPr>
          <w:rFonts w:hint="eastAsia" w:ascii="仿宋" w:hAnsi="仿宋" w:eastAsia="仿宋" w:cs="仿宋"/>
          <w:b/>
          <w:bCs/>
          <w:sz w:val="32"/>
          <w:szCs w:val="32"/>
        </w:rPr>
        <w:t>新罗区华年新型建材厂（经营者：陈玲玲）</w:t>
      </w:r>
      <w:r>
        <w:rPr>
          <w:rFonts w:hint="eastAsia" w:ascii="Times New Roman" w:hAnsi="Times New Roman" w:eastAsia="仿宋_GB2312" w:cs="仿宋"/>
          <w:b/>
          <w:bCs/>
          <w:sz w:val="32"/>
          <w:szCs w:val="32"/>
        </w:rPr>
        <w:t>：</w:t>
      </w:r>
    </w:p>
    <w:p w14:paraId="0E69C77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由本局立案调查的你（以下称当事人）涉嫌销售未取得生产许可证的列入目录的产品案，已调查终结。依据《中华人民共和国行政处罚法》第四十四条的规定，现将本局拟作出行政处罚的事实、理由、依据及处罚内容告知如下：</w:t>
      </w:r>
    </w:p>
    <w:p w14:paraId="50CD8781">
      <w:pPr>
        <w:keepNext w:val="0"/>
        <w:keepLines w:val="0"/>
        <w:pageBreakBefore w:val="0"/>
        <w:widowControl w:val="0"/>
        <w:kinsoku/>
        <w:wordWrap/>
        <w:overflowPunct/>
        <w:topLinePunct w:val="0"/>
        <w:autoSpaceDE/>
        <w:autoSpaceDN/>
        <w:bidi w:val="0"/>
        <w:spacing w:line="560" w:lineRule="exact"/>
        <w:ind w:firstLine="660" w:firstLineChars="200"/>
        <w:textAlignment w:val="auto"/>
        <w:rPr>
          <w:rFonts w:hint="eastAsia" w:ascii="楷体" w:hAnsi="楷体" w:eastAsia="楷体" w:cs="仿宋_GB2312"/>
          <w:b/>
          <w:sz w:val="32"/>
          <w:szCs w:val="32"/>
        </w:rPr>
      </w:pPr>
      <w:r>
        <w:rPr>
          <w:rFonts w:hint="eastAsia" w:ascii="仿宋" w:hAnsi="仿宋" w:eastAsia="仿宋" w:cs="仿宋"/>
          <w:spacing w:val="5"/>
          <w:sz w:val="32"/>
          <w:szCs w:val="32"/>
        </w:rPr>
        <w:t>经查实：</w:t>
      </w:r>
    </w:p>
    <w:p w14:paraId="77D43B3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_GB2312"/>
          <w:bCs/>
          <w:sz w:val="32"/>
          <w:szCs w:val="32"/>
        </w:rPr>
      </w:pPr>
      <w:r>
        <w:rPr>
          <w:rFonts w:hint="eastAsia" w:ascii="仿宋" w:hAnsi="仿宋" w:eastAsia="仿宋"/>
          <w:sz w:val="32"/>
          <w:szCs w:val="32"/>
        </w:rPr>
        <w:t>2</w:t>
      </w:r>
      <w:r>
        <w:rPr>
          <w:rFonts w:ascii="仿宋" w:hAnsi="仿宋" w:eastAsia="仿宋"/>
          <w:sz w:val="32"/>
          <w:szCs w:val="32"/>
        </w:rPr>
        <w:t>021</w:t>
      </w:r>
      <w:r>
        <w:rPr>
          <w:rFonts w:hint="eastAsia" w:ascii="仿宋" w:hAnsi="仿宋" w:eastAsia="仿宋"/>
          <w:sz w:val="32"/>
          <w:szCs w:val="32"/>
        </w:rPr>
        <w:t>年4月1日，黄华鸣以</w:t>
      </w:r>
      <w:bookmarkStart w:id="1" w:name="OLE_LINK14"/>
      <w:r>
        <w:rPr>
          <w:rFonts w:hint="eastAsia" w:ascii="仿宋" w:hAnsi="仿宋" w:eastAsia="仿宋" w:cs="仿宋_GB2312"/>
          <w:bCs/>
          <w:sz w:val="32"/>
          <w:szCs w:val="32"/>
        </w:rPr>
        <w:t>新罗区华年新型建材厂</w:t>
      </w:r>
      <w:bookmarkEnd w:id="1"/>
      <w:r>
        <w:rPr>
          <w:rFonts w:hint="eastAsia" w:ascii="仿宋" w:hAnsi="仿宋" w:eastAsia="仿宋" w:cs="仿宋_GB2312"/>
          <w:bCs/>
          <w:sz w:val="32"/>
          <w:szCs w:val="32"/>
        </w:rPr>
        <w:t>厂长身份与吴福源签订《华年厂合作（协议）》，约定由吴福源按每吨（成品）水泥1</w:t>
      </w:r>
      <w:r>
        <w:rPr>
          <w:rFonts w:ascii="仿宋" w:hAnsi="仿宋" w:eastAsia="仿宋" w:cs="仿宋_GB2312"/>
          <w:bCs/>
          <w:sz w:val="32"/>
          <w:szCs w:val="32"/>
        </w:rPr>
        <w:t>5</w:t>
      </w:r>
      <w:r>
        <w:rPr>
          <w:rFonts w:hint="eastAsia" w:ascii="仿宋" w:hAnsi="仿宋" w:eastAsia="仿宋" w:cs="仿宋_GB2312"/>
          <w:bCs/>
          <w:sz w:val="32"/>
          <w:szCs w:val="32"/>
        </w:rPr>
        <w:t>元的标准向黄华鸣支付人员工资；添加用的石粉（石灰石）由黄华鸣以9</w:t>
      </w:r>
      <w:r>
        <w:rPr>
          <w:rFonts w:ascii="仿宋" w:hAnsi="仿宋" w:eastAsia="仿宋" w:cs="仿宋_GB2312"/>
          <w:bCs/>
          <w:sz w:val="32"/>
          <w:szCs w:val="32"/>
        </w:rPr>
        <w:t>0</w:t>
      </w:r>
      <w:r>
        <w:rPr>
          <w:rFonts w:hint="eastAsia" w:ascii="仿宋" w:hAnsi="仿宋" w:eastAsia="仿宋" w:cs="仿宋_GB2312"/>
          <w:bCs/>
          <w:sz w:val="32"/>
          <w:szCs w:val="32"/>
        </w:rPr>
        <w:t>元每吨价格向吴福源提供；电费、人员工资、安全和设备维修由黄华鸣负责。</w:t>
      </w:r>
    </w:p>
    <w:p w14:paraId="23EFFD7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_GB2312"/>
          <w:bCs/>
          <w:sz w:val="32"/>
          <w:szCs w:val="32"/>
        </w:rPr>
      </w:pPr>
      <w:r>
        <w:rPr>
          <w:rFonts w:hint="eastAsia" w:ascii="仿宋" w:hAnsi="仿宋" w:eastAsia="仿宋" w:cs="仿宋_GB2312"/>
          <w:bCs/>
          <w:sz w:val="32"/>
          <w:szCs w:val="32"/>
        </w:rPr>
        <w:t>涉案水泥的生产工艺均为散装水泥（成品水泥）和石粉（石灰石）按6</w:t>
      </w:r>
      <w:r>
        <w:rPr>
          <w:rFonts w:ascii="仿宋" w:hAnsi="仿宋" w:eastAsia="仿宋" w:cs="仿宋_GB2312"/>
          <w:bCs/>
          <w:sz w:val="32"/>
          <w:szCs w:val="32"/>
        </w:rPr>
        <w:t>5</w:t>
      </w:r>
      <w:r>
        <w:rPr>
          <w:rFonts w:hint="eastAsia" w:ascii="仿宋" w:hAnsi="仿宋" w:eastAsia="仿宋" w:cs="仿宋_GB2312"/>
          <w:bCs/>
          <w:sz w:val="32"/>
          <w:szCs w:val="32"/>
        </w:rPr>
        <w:t>:</w:t>
      </w:r>
      <w:r>
        <w:rPr>
          <w:rFonts w:ascii="仿宋" w:hAnsi="仿宋" w:eastAsia="仿宋" w:cs="仿宋_GB2312"/>
          <w:bCs/>
          <w:sz w:val="32"/>
          <w:szCs w:val="32"/>
        </w:rPr>
        <w:t>35</w:t>
      </w:r>
      <w:r>
        <w:rPr>
          <w:rFonts w:hint="eastAsia" w:ascii="仿宋" w:hAnsi="仿宋" w:eastAsia="仿宋" w:cs="仿宋_GB2312"/>
          <w:bCs/>
          <w:sz w:val="32"/>
          <w:szCs w:val="32"/>
        </w:rPr>
        <w:t>、7</w:t>
      </w:r>
      <w:r>
        <w:rPr>
          <w:rFonts w:ascii="仿宋" w:hAnsi="仿宋" w:eastAsia="仿宋" w:cs="仿宋_GB2312"/>
          <w:bCs/>
          <w:sz w:val="32"/>
          <w:szCs w:val="32"/>
        </w:rPr>
        <w:t>0</w:t>
      </w:r>
      <w:r>
        <w:rPr>
          <w:rFonts w:hint="eastAsia" w:ascii="仿宋" w:hAnsi="仿宋" w:eastAsia="仿宋" w:cs="仿宋_GB2312"/>
          <w:bCs/>
          <w:sz w:val="32"/>
          <w:szCs w:val="32"/>
        </w:rPr>
        <w:t>:</w:t>
      </w:r>
      <w:r>
        <w:rPr>
          <w:rFonts w:ascii="仿宋" w:hAnsi="仿宋" w:eastAsia="仿宋" w:cs="仿宋_GB2312"/>
          <w:bCs/>
          <w:sz w:val="32"/>
          <w:szCs w:val="32"/>
        </w:rPr>
        <w:t>30</w:t>
      </w:r>
      <w:r>
        <w:rPr>
          <w:rFonts w:hint="eastAsia" w:ascii="仿宋" w:hAnsi="仿宋" w:eastAsia="仿宋" w:cs="仿宋_GB2312"/>
          <w:bCs/>
          <w:sz w:val="32"/>
          <w:szCs w:val="32"/>
        </w:rPr>
        <w:t>、7</w:t>
      </w:r>
      <w:r>
        <w:rPr>
          <w:rFonts w:ascii="仿宋" w:hAnsi="仿宋" w:eastAsia="仿宋" w:cs="仿宋_GB2312"/>
          <w:bCs/>
          <w:sz w:val="32"/>
          <w:szCs w:val="32"/>
        </w:rPr>
        <w:t>5</w:t>
      </w:r>
      <w:r>
        <w:rPr>
          <w:rFonts w:hint="eastAsia" w:ascii="仿宋" w:hAnsi="仿宋" w:eastAsia="仿宋" w:cs="仿宋_GB2312"/>
          <w:bCs/>
          <w:sz w:val="32"/>
          <w:szCs w:val="32"/>
        </w:rPr>
        <w:t>:</w:t>
      </w:r>
      <w:r>
        <w:rPr>
          <w:rFonts w:ascii="仿宋" w:hAnsi="仿宋" w:eastAsia="仿宋" w:cs="仿宋_GB2312"/>
          <w:bCs/>
          <w:sz w:val="32"/>
          <w:szCs w:val="32"/>
        </w:rPr>
        <w:t>25</w:t>
      </w:r>
      <w:r>
        <w:rPr>
          <w:rFonts w:hint="eastAsia" w:ascii="仿宋" w:hAnsi="仿宋" w:eastAsia="仿宋" w:cs="仿宋_GB2312"/>
          <w:bCs/>
          <w:sz w:val="32"/>
          <w:szCs w:val="32"/>
        </w:rPr>
        <w:t>和8</w:t>
      </w:r>
      <w:r>
        <w:rPr>
          <w:rFonts w:ascii="仿宋" w:hAnsi="仿宋" w:eastAsia="仿宋" w:cs="仿宋_GB2312"/>
          <w:bCs/>
          <w:sz w:val="32"/>
          <w:szCs w:val="32"/>
        </w:rPr>
        <w:t>5</w:t>
      </w:r>
      <w:r>
        <w:rPr>
          <w:rFonts w:hint="eastAsia" w:ascii="仿宋" w:hAnsi="仿宋" w:eastAsia="仿宋" w:cs="仿宋_GB2312"/>
          <w:bCs/>
          <w:sz w:val="32"/>
          <w:szCs w:val="32"/>
        </w:rPr>
        <w:t>:</w:t>
      </w:r>
      <w:r>
        <w:rPr>
          <w:rFonts w:ascii="仿宋" w:hAnsi="仿宋" w:eastAsia="仿宋" w:cs="仿宋_GB2312"/>
          <w:bCs/>
          <w:sz w:val="32"/>
          <w:szCs w:val="32"/>
        </w:rPr>
        <w:t>15</w:t>
      </w:r>
      <w:r>
        <w:rPr>
          <w:rStyle w:val="16"/>
          <w:rFonts w:ascii="仿宋" w:hAnsi="仿宋" w:eastAsia="仿宋" w:cs="仿宋_GB2312"/>
          <w:bCs/>
          <w:sz w:val="32"/>
          <w:szCs w:val="32"/>
        </w:rPr>
        <w:footnoteReference w:id="0"/>
      </w:r>
      <w:r>
        <w:rPr>
          <w:rFonts w:hint="eastAsia" w:ascii="仿宋" w:hAnsi="仿宋" w:eastAsia="仿宋" w:cs="仿宋_GB2312"/>
          <w:bCs/>
          <w:sz w:val="32"/>
          <w:szCs w:val="32"/>
        </w:rPr>
        <w:t>不等的比例</w:t>
      </w:r>
      <w:r>
        <w:rPr>
          <w:rStyle w:val="16"/>
          <w:rFonts w:hint="eastAsia" w:ascii="仿宋" w:hAnsi="仿宋" w:eastAsia="仿宋" w:cs="仿宋_GB2312"/>
          <w:bCs/>
          <w:sz w:val="32"/>
          <w:szCs w:val="32"/>
        </w:rPr>
        <w:footnoteReference w:id="1"/>
      </w:r>
      <w:r>
        <w:rPr>
          <w:rFonts w:hint="eastAsia" w:ascii="仿宋" w:hAnsi="仿宋" w:eastAsia="仿宋" w:cs="仿宋_GB2312"/>
          <w:bCs/>
          <w:sz w:val="32"/>
          <w:szCs w:val="32"/>
        </w:rPr>
        <w:t>混合而成，该配方系由吴福源制定，并告知</w:t>
      </w:r>
      <w:bookmarkStart w:id="2" w:name="OLE_LINK29"/>
      <w:r>
        <w:rPr>
          <w:rFonts w:hint="eastAsia" w:ascii="仿宋" w:hAnsi="仿宋" w:eastAsia="仿宋"/>
          <w:sz w:val="32"/>
          <w:szCs w:val="32"/>
        </w:rPr>
        <w:t>新罗区华年新型建材厂</w:t>
      </w:r>
      <w:bookmarkEnd w:id="2"/>
      <w:r>
        <w:rPr>
          <w:rFonts w:hint="eastAsia" w:ascii="仿宋" w:hAnsi="仿宋" w:eastAsia="仿宋"/>
          <w:sz w:val="32"/>
          <w:szCs w:val="32"/>
        </w:rPr>
        <w:t>的工人组织生产</w:t>
      </w:r>
      <w:r>
        <w:rPr>
          <w:rFonts w:hint="eastAsia" w:ascii="仿宋" w:hAnsi="仿宋" w:eastAsia="仿宋" w:cs="仿宋_GB2312"/>
          <w:bCs/>
          <w:sz w:val="32"/>
          <w:szCs w:val="32"/>
        </w:rPr>
        <w:t>。生产所用的散装水泥系吴福源从福建蓝田水泥有限公司（购入</w:t>
      </w:r>
      <w:r>
        <w:rPr>
          <w:rFonts w:ascii="仿宋" w:hAnsi="仿宋" w:eastAsia="仿宋" w:cs="仿宋_GB2312"/>
          <w:bCs/>
          <w:sz w:val="32"/>
          <w:szCs w:val="32"/>
        </w:rPr>
        <w:t>3302.93</w:t>
      </w:r>
      <w:r>
        <w:rPr>
          <w:rFonts w:hint="eastAsia" w:ascii="仿宋" w:hAnsi="仿宋" w:eastAsia="仿宋" w:cs="仿宋_GB2312"/>
          <w:bCs/>
          <w:sz w:val="32"/>
          <w:szCs w:val="32"/>
        </w:rPr>
        <w:t>吨）、福建省永定闽福建材有限公司、福建三明南方水泥有限公司和龙岩市闽辉水泥有限公司等处购入，上述水泥均符合G</w:t>
      </w:r>
      <w:r>
        <w:rPr>
          <w:rFonts w:ascii="仿宋" w:hAnsi="仿宋" w:eastAsia="仿宋" w:cs="仿宋_GB2312"/>
          <w:bCs/>
          <w:sz w:val="32"/>
          <w:szCs w:val="32"/>
        </w:rPr>
        <w:t>B175</w:t>
      </w:r>
      <w:r>
        <w:rPr>
          <w:rFonts w:hint="eastAsia" w:ascii="仿宋" w:hAnsi="仿宋" w:eastAsia="仿宋" w:cs="仿宋_GB2312"/>
          <w:bCs/>
          <w:sz w:val="32"/>
          <w:szCs w:val="32"/>
        </w:rPr>
        <w:t>-</w:t>
      </w:r>
      <w:r>
        <w:rPr>
          <w:rFonts w:ascii="仿宋" w:hAnsi="仿宋" w:eastAsia="仿宋" w:cs="仿宋_GB2312"/>
          <w:bCs/>
          <w:sz w:val="32"/>
          <w:szCs w:val="32"/>
        </w:rPr>
        <w:t>2007</w:t>
      </w:r>
      <w:r>
        <w:rPr>
          <w:rFonts w:hint="eastAsia" w:ascii="仿宋" w:hAnsi="仿宋" w:eastAsia="仿宋" w:cs="仿宋_GB2312"/>
          <w:bCs/>
          <w:sz w:val="32"/>
          <w:szCs w:val="32"/>
        </w:rPr>
        <w:t>《通用硅酸盐水泥》标准。2021年10月1日至2021年10月16日、2021年11月1日至11月22日，吴福源自行向龙岩市宇联重钙有限公司购入石粉（石灰石）。其余石粉系按每吨90元的价格向黄华鸣购买。</w:t>
      </w:r>
    </w:p>
    <w:p w14:paraId="48DC052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_GB2312"/>
          <w:bCs/>
          <w:sz w:val="32"/>
          <w:szCs w:val="32"/>
        </w:rPr>
      </w:pPr>
      <w:r>
        <w:rPr>
          <w:rFonts w:hint="eastAsia" w:ascii="仿宋" w:hAnsi="仿宋" w:eastAsia="仿宋" w:cs="仿宋_GB2312"/>
          <w:bCs/>
          <w:sz w:val="32"/>
          <w:szCs w:val="32"/>
        </w:rPr>
        <w:t>富贵牌水泥和建国牌水泥的包装袋（5</w:t>
      </w:r>
      <w:r>
        <w:rPr>
          <w:rFonts w:ascii="仿宋" w:hAnsi="仿宋" w:eastAsia="仿宋" w:cs="仿宋_GB2312"/>
          <w:bCs/>
          <w:sz w:val="32"/>
          <w:szCs w:val="32"/>
        </w:rPr>
        <w:t>0KG</w:t>
      </w:r>
      <w:r>
        <w:rPr>
          <w:rFonts w:hint="eastAsia" w:ascii="仿宋" w:hAnsi="仿宋" w:eastAsia="仿宋" w:cs="仿宋_GB2312"/>
          <w:bCs/>
          <w:sz w:val="32"/>
          <w:szCs w:val="32"/>
        </w:rPr>
        <w:t>装）系吴福源委托龙岩市元发纸塑有限公司加工，共加工富贵牌3</w:t>
      </w:r>
      <w:r>
        <w:rPr>
          <w:rFonts w:ascii="仿宋" w:hAnsi="仿宋" w:eastAsia="仿宋" w:cs="仿宋_GB2312"/>
          <w:bCs/>
          <w:sz w:val="32"/>
          <w:szCs w:val="32"/>
        </w:rPr>
        <w:t>2.5R</w:t>
      </w:r>
      <w:r>
        <w:rPr>
          <w:rFonts w:hint="eastAsia" w:ascii="仿宋" w:hAnsi="仿宋" w:eastAsia="仿宋" w:cs="仿宋_GB2312"/>
          <w:bCs/>
          <w:sz w:val="32"/>
          <w:szCs w:val="32"/>
        </w:rPr>
        <w:t>水泥包装袋6</w:t>
      </w:r>
      <w:r>
        <w:rPr>
          <w:rFonts w:ascii="仿宋" w:hAnsi="仿宋" w:eastAsia="仿宋" w:cs="仿宋_GB2312"/>
          <w:bCs/>
          <w:sz w:val="32"/>
          <w:szCs w:val="32"/>
        </w:rPr>
        <w:t>8539</w:t>
      </w:r>
      <w:r>
        <w:rPr>
          <w:rFonts w:hint="eastAsia" w:ascii="仿宋" w:hAnsi="仿宋" w:eastAsia="仿宋" w:cs="仿宋_GB2312"/>
          <w:bCs/>
          <w:sz w:val="32"/>
          <w:szCs w:val="32"/>
        </w:rPr>
        <w:t>个、富贵牌4</w:t>
      </w:r>
      <w:r>
        <w:rPr>
          <w:rFonts w:ascii="仿宋" w:hAnsi="仿宋" w:eastAsia="仿宋" w:cs="仿宋_GB2312"/>
          <w:bCs/>
          <w:sz w:val="32"/>
          <w:szCs w:val="32"/>
        </w:rPr>
        <w:t>2.5R</w:t>
      </w:r>
      <w:r>
        <w:rPr>
          <w:rFonts w:hint="eastAsia" w:ascii="仿宋" w:hAnsi="仿宋" w:eastAsia="仿宋" w:cs="仿宋_GB2312"/>
          <w:bCs/>
          <w:sz w:val="32"/>
          <w:szCs w:val="32"/>
        </w:rPr>
        <w:t>水泥包装袋3</w:t>
      </w:r>
      <w:r>
        <w:rPr>
          <w:rFonts w:ascii="仿宋" w:hAnsi="仿宋" w:eastAsia="仿宋" w:cs="仿宋_GB2312"/>
          <w:bCs/>
          <w:sz w:val="32"/>
          <w:szCs w:val="32"/>
        </w:rPr>
        <w:t>0680</w:t>
      </w:r>
      <w:r>
        <w:rPr>
          <w:rFonts w:hint="eastAsia" w:ascii="仿宋" w:hAnsi="仿宋" w:eastAsia="仿宋" w:cs="仿宋_GB2312"/>
          <w:bCs/>
          <w:sz w:val="32"/>
          <w:szCs w:val="32"/>
        </w:rPr>
        <w:t>个；建国牌3</w:t>
      </w:r>
      <w:r>
        <w:rPr>
          <w:rFonts w:ascii="仿宋" w:hAnsi="仿宋" w:eastAsia="仿宋" w:cs="仿宋_GB2312"/>
          <w:bCs/>
          <w:sz w:val="32"/>
          <w:szCs w:val="32"/>
        </w:rPr>
        <w:t>2.5R</w:t>
      </w:r>
      <w:r>
        <w:rPr>
          <w:rFonts w:hint="eastAsia" w:ascii="仿宋" w:hAnsi="仿宋" w:eastAsia="仿宋" w:cs="仿宋_GB2312"/>
          <w:bCs/>
          <w:sz w:val="32"/>
          <w:szCs w:val="32"/>
        </w:rPr>
        <w:t>水泥包装袋6</w:t>
      </w:r>
      <w:r>
        <w:rPr>
          <w:rFonts w:ascii="仿宋" w:hAnsi="仿宋" w:eastAsia="仿宋" w:cs="仿宋_GB2312"/>
          <w:bCs/>
          <w:sz w:val="32"/>
          <w:szCs w:val="32"/>
        </w:rPr>
        <w:t>1853</w:t>
      </w:r>
      <w:r>
        <w:rPr>
          <w:rFonts w:hint="eastAsia" w:ascii="仿宋" w:hAnsi="仿宋" w:eastAsia="仿宋" w:cs="仿宋_GB2312"/>
          <w:bCs/>
          <w:sz w:val="32"/>
          <w:szCs w:val="32"/>
        </w:rPr>
        <w:t>个，合计1</w:t>
      </w:r>
      <w:r>
        <w:rPr>
          <w:rFonts w:ascii="仿宋" w:hAnsi="仿宋" w:eastAsia="仿宋" w:cs="仿宋_GB2312"/>
          <w:bCs/>
          <w:sz w:val="32"/>
          <w:szCs w:val="32"/>
        </w:rPr>
        <w:t>61072</w:t>
      </w:r>
      <w:r>
        <w:rPr>
          <w:rFonts w:hint="eastAsia" w:ascii="仿宋" w:hAnsi="仿宋" w:eastAsia="仿宋" w:cs="仿宋_GB2312"/>
          <w:bCs/>
          <w:sz w:val="32"/>
          <w:szCs w:val="32"/>
        </w:rPr>
        <w:t>个。2021年11月23日现场检查当天，在当事人现场发现有富贵牌水泥纸袋162000个，建国牌水泥纸袋30000个。当事人所生产的水泥标称有富贵、建国、铁石和华年等商标，均获得相关商标权利人的许可。</w:t>
      </w:r>
    </w:p>
    <w:p w14:paraId="296C7DD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_GB2312"/>
          <w:bCs/>
          <w:sz w:val="32"/>
          <w:szCs w:val="32"/>
        </w:rPr>
      </w:pPr>
      <w:r>
        <w:rPr>
          <w:rFonts w:hint="eastAsia" w:ascii="仿宋" w:hAnsi="仿宋" w:eastAsia="仿宋" w:cs="仿宋_GB2312"/>
          <w:bCs/>
          <w:sz w:val="32"/>
          <w:szCs w:val="32"/>
        </w:rPr>
        <w:t>当事人在组织生产上述水泥产品过程中，未取得《工业产品生产许可证》。</w:t>
      </w:r>
    </w:p>
    <w:p w14:paraId="42236B2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_GB2312"/>
          <w:bCs/>
          <w:sz w:val="32"/>
          <w:szCs w:val="32"/>
        </w:rPr>
      </w:pPr>
      <w:r>
        <w:rPr>
          <w:rFonts w:hint="eastAsia" w:ascii="仿宋" w:hAnsi="仿宋" w:eastAsia="仿宋" w:cs="仿宋_GB2312"/>
          <w:bCs/>
          <w:sz w:val="32"/>
          <w:szCs w:val="32"/>
        </w:rPr>
        <w:t>与涉案水泥数量相关的证据如下：</w:t>
      </w:r>
    </w:p>
    <w:p w14:paraId="63D39CA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_GB2312"/>
          <w:bCs/>
          <w:sz w:val="32"/>
          <w:szCs w:val="32"/>
        </w:rPr>
      </w:pPr>
      <w:r>
        <w:rPr>
          <w:rFonts w:hint="eastAsia" w:ascii="仿宋" w:hAnsi="仿宋" w:eastAsia="仿宋" w:cs="仿宋_GB2312"/>
          <w:bCs/>
          <w:sz w:val="32"/>
          <w:szCs w:val="32"/>
        </w:rPr>
        <w:t>1、2021年11月23日现场检查提取的台式电脑记账软件中的电子数据</w:t>
      </w:r>
      <w:r>
        <w:rPr>
          <w:rStyle w:val="16"/>
          <w:rFonts w:hint="eastAsia" w:ascii="仿宋" w:hAnsi="仿宋" w:eastAsia="仿宋" w:cs="仿宋_GB2312"/>
          <w:bCs/>
          <w:sz w:val="32"/>
          <w:szCs w:val="32"/>
        </w:rPr>
        <w:footnoteReference w:id="2"/>
      </w:r>
      <w:r>
        <w:rPr>
          <w:rFonts w:hint="eastAsia" w:ascii="仿宋" w:hAnsi="仿宋" w:eastAsia="仿宋" w:cs="仿宋_GB2312"/>
          <w:bCs/>
          <w:sz w:val="32"/>
          <w:szCs w:val="32"/>
        </w:rPr>
        <w:t>及现场手工账本</w:t>
      </w:r>
      <w:r>
        <w:rPr>
          <w:rStyle w:val="16"/>
          <w:rFonts w:hint="eastAsia" w:ascii="仿宋" w:hAnsi="仿宋" w:eastAsia="仿宋" w:cs="仿宋_GB2312"/>
          <w:bCs/>
          <w:sz w:val="32"/>
          <w:szCs w:val="32"/>
        </w:rPr>
        <w:footnoteReference w:id="3"/>
      </w:r>
      <w:r>
        <w:rPr>
          <w:rFonts w:hint="eastAsia" w:ascii="仿宋" w:hAnsi="仿宋" w:eastAsia="仿宋" w:cs="仿宋_GB2312"/>
          <w:bCs/>
          <w:sz w:val="32"/>
          <w:szCs w:val="32"/>
        </w:rPr>
        <w:t>，对厂长黄华鸣</w:t>
      </w:r>
      <w:r>
        <w:rPr>
          <w:rStyle w:val="16"/>
          <w:rFonts w:hint="eastAsia" w:ascii="仿宋" w:hAnsi="仿宋" w:eastAsia="仿宋" w:cs="仿宋_GB2312"/>
          <w:bCs/>
          <w:sz w:val="32"/>
          <w:szCs w:val="32"/>
        </w:rPr>
        <w:footnoteReference w:id="4"/>
      </w:r>
      <w:r>
        <w:rPr>
          <w:rFonts w:hint="eastAsia" w:ascii="仿宋" w:hAnsi="仿宋" w:eastAsia="仿宋" w:cs="仿宋_GB2312"/>
          <w:bCs/>
          <w:sz w:val="32"/>
          <w:szCs w:val="32"/>
        </w:rPr>
        <w:t>和包装工刘伟东</w:t>
      </w:r>
      <w:r>
        <w:rPr>
          <w:rStyle w:val="16"/>
          <w:rFonts w:hint="eastAsia" w:ascii="仿宋" w:hAnsi="仿宋" w:eastAsia="仿宋" w:cs="仿宋_GB2312"/>
          <w:bCs/>
          <w:sz w:val="32"/>
          <w:szCs w:val="32"/>
        </w:rPr>
        <w:footnoteReference w:id="5"/>
      </w:r>
      <w:r>
        <w:rPr>
          <w:rFonts w:hint="eastAsia" w:ascii="仿宋" w:hAnsi="仿宋" w:eastAsia="仿宋" w:cs="仿宋_GB2312"/>
          <w:bCs/>
          <w:sz w:val="32"/>
          <w:szCs w:val="32"/>
        </w:rPr>
        <w:t>的进行询问并制作的询问笔录。该证据中的装车记录电子数据存在数据重复录入的可能性，并且未完整记录销售去向，除黄华鸣的供述外，在案其他证据无法与该装车记录形成交叉印证的关联性，且无法通过调查予以核实，故此在认定涉案水泥的数量时不参考此数据。</w:t>
      </w:r>
    </w:p>
    <w:p w14:paraId="482D7D7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_GB2312"/>
          <w:bCs/>
          <w:sz w:val="32"/>
          <w:szCs w:val="32"/>
        </w:rPr>
      </w:pPr>
      <w:r>
        <w:rPr>
          <w:rFonts w:hint="eastAsia" w:ascii="仿宋" w:hAnsi="仿宋" w:eastAsia="仿宋" w:cs="仿宋_GB2312"/>
          <w:bCs/>
          <w:sz w:val="32"/>
          <w:szCs w:val="32"/>
        </w:rPr>
        <w:t>2、吴福源提供的与黄华鸣之间的（2021年）4月份、5月份、6月份</w:t>
      </w:r>
      <w:bookmarkStart w:id="3" w:name="OLE_LINK17"/>
      <w:r>
        <w:rPr>
          <w:rFonts w:hint="eastAsia" w:ascii="仿宋" w:hAnsi="仿宋" w:eastAsia="仿宋" w:cs="仿宋_GB2312"/>
          <w:bCs/>
          <w:sz w:val="32"/>
          <w:szCs w:val="32"/>
        </w:rPr>
        <w:t>手工对账单复印件</w:t>
      </w:r>
      <w:bookmarkEnd w:id="3"/>
      <w:r>
        <w:rPr>
          <w:rFonts w:hint="eastAsia" w:ascii="仿宋" w:hAnsi="仿宋" w:eastAsia="仿宋" w:cs="仿宋_GB2312"/>
          <w:bCs/>
          <w:sz w:val="32"/>
          <w:szCs w:val="32"/>
        </w:rPr>
        <w:t>，载明生产水泥数量分别为993.5吨、842吨和810吨，还写有换算系数、购入水泥粉吨数、最终换算得到的石粉吨数以及吴福源应支付给黄华鸣的款项。在手工对账单下方写有转款方式、转款日期和金额，并由黄华鸣签字确认。上述3个月份的转款方式、转款日期和金额与《电子数据分析报告》中对吴福源手机检材进行分析并提取到的微信转账记录一一对应，足以认定自2021年4月10日合作以来截至6月30日的生产水泥数量为</w:t>
      </w:r>
      <w:bookmarkStart w:id="4" w:name="OLE_LINK19"/>
      <w:bookmarkStart w:id="5" w:name="OLE_LINK21"/>
      <w:r>
        <w:rPr>
          <w:rFonts w:hint="eastAsia" w:ascii="仿宋" w:hAnsi="仿宋" w:eastAsia="仿宋" w:cs="仿宋_GB2312"/>
          <w:bCs/>
          <w:sz w:val="32"/>
          <w:szCs w:val="32"/>
        </w:rPr>
        <w:t>2645.5</w:t>
      </w:r>
      <w:bookmarkEnd w:id="4"/>
      <w:r>
        <w:rPr>
          <w:rFonts w:hint="eastAsia" w:ascii="仿宋" w:hAnsi="仿宋" w:eastAsia="仿宋" w:cs="仿宋_GB2312"/>
          <w:bCs/>
          <w:sz w:val="32"/>
          <w:szCs w:val="32"/>
        </w:rPr>
        <w:t>吨</w:t>
      </w:r>
      <w:bookmarkEnd w:id="5"/>
      <w:r>
        <w:rPr>
          <w:rFonts w:hint="eastAsia" w:ascii="仿宋" w:hAnsi="仿宋" w:eastAsia="仿宋" w:cs="仿宋_GB2312"/>
          <w:bCs/>
          <w:sz w:val="32"/>
          <w:szCs w:val="32"/>
        </w:rPr>
        <w:t>，但无法区分标号和品牌，无法认定</w:t>
      </w:r>
      <w:r>
        <w:rPr>
          <w:rFonts w:hint="eastAsia" w:ascii="仿宋" w:hAnsi="仿宋" w:eastAsia="仿宋"/>
          <w:sz w:val="32"/>
          <w:szCs w:val="32"/>
        </w:rPr>
        <w:t>新罗区华年新型建材厂和吴福源各自</w:t>
      </w:r>
      <w:r>
        <w:rPr>
          <w:rFonts w:hint="eastAsia" w:ascii="仿宋" w:hAnsi="仿宋" w:eastAsia="仿宋" w:cs="仿宋_GB2312"/>
          <w:bCs/>
          <w:sz w:val="32"/>
          <w:szCs w:val="32"/>
        </w:rPr>
        <w:t>的具体销售数量。</w:t>
      </w:r>
    </w:p>
    <w:p w14:paraId="143262E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_GB2312"/>
          <w:bCs/>
          <w:sz w:val="32"/>
          <w:szCs w:val="32"/>
        </w:rPr>
      </w:pPr>
      <w:r>
        <w:rPr>
          <w:rFonts w:hint="eastAsia" w:ascii="仿宋" w:hAnsi="仿宋" w:eastAsia="仿宋" w:cs="仿宋_GB2312"/>
          <w:bCs/>
          <w:sz w:val="32"/>
          <w:szCs w:val="32"/>
        </w:rPr>
        <w:t>3、富贵、建国牌纸质包装袋</w:t>
      </w:r>
      <w:r>
        <w:rPr>
          <w:rStyle w:val="16"/>
          <w:rFonts w:hint="eastAsia" w:ascii="仿宋" w:hAnsi="仿宋" w:eastAsia="仿宋" w:cs="仿宋_GB2312"/>
          <w:bCs/>
          <w:sz w:val="32"/>
          <w:szCs w:val="32"/>
        </w:rPr>
        <w:footnoteReference w:id="6"/>
      </w:r>
      <w:r>
        <w:rPr>
          <w:rFonts w:hint="eastAsia" w:ascii="仿宋" w:hAnsi="仿宋" w:eastAsia="仿宋" w:cs="仿宋_GB2312"/>
          <w:bCs/>
          <w:sz w:val="32"/>
          <w:szCs w:val="32"/>
        </w:rPr>
        <w:t>采购聊天记录及转账凭证。因当事人并未提供水泥包装袋的台账记录，水泥包装袋的采购数量及现场检查时现场发现的水泥包装袋数量等事实无法形成闭环，对涉案水泥的数量认定无法起到证明作用。</w:t>
      </w:r>
    </w:p>
    <w:p w14:paraId="6C08B4E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_GB2312"/>
          <w:bCs/>
          <w:sz w:val="32"/>
          <w:szCs w:val="32"/>
        </w:rPr>
      </w:pPr>
      <w:r>
        <w:rPr>
          <w:rFonts w:hint="eastAsia" w:ascii="仿宋" w:hAnsi="仿宋" w:eastAsia="仿宋" w:cs="仿宋_GB2312"/>
          <w:bCs/>
          <w:sz w:val="32"/>
          <w:szCs w:val="32"/>
        </w:rPr>
        <w:t>5、执法人员提取的</w:t>
      </w:r>
      <w:bookmarkStart w:id="6" w:name="OLE_LINK34"/>
      <w:r>
        <w:rPr>
          <w:rFonts w:hint="eastAsia" w:ascii="仿宋" w:hAnsi="仿宋" w:eastAsia="仿宋" w:cs="仿宋_GB2312"/>
          <w:bCs/>
          <w:sz w:val="32"/>
          <w:szCs w:val="32"/>
        </w:rPr>
        <w:t>龙岩市鑫享恒源贸易有限公司</w:t>
      </w:r>
      <w:r>
        <w:rPr>
          <w:rStyle w:val="16"/>
          <w:rFonts w:hint="eastAsia" w:ascii="仿宋" w:hAnsi="仿宋" w:eastAsia="仿宋" w:cs="仿宋_GB2312"/>
          <w:bCs/>
          <w:sz w:val="32"/>
          <w:szCs w:val="32"/>
        </w:rPr>
        <w:footnoteReference w:id="7"/>
      </w:r>
      <w:r>
        <w:rPr>
          <w:rFonts w:hint="eastAsia" w:ascii="仿宋" w:hAnsi="仿宋" w:eastAsia="仿宋" w:cs="仿宋_GB2312"/>
          <w:bCs/>
          <w:sz w:val="32"/>
          <w:szCs w:val="32"/>
        </w:rPr>
        <w:t>开具的销售发票18张</w:t>
      </w:r>
      <w:r>
        <w:rPr>
          <w:rStyle w:val="16"/>
          <w:rFonts w:hint="eastAsia" w:ascii="仿宋" w:hAnsi="仿宋" w:eastAsia="仿宋" w:cs="仿宋_GB2312"/>
          <w:bCs/>
          <w:sz w:val="32"/>
          <w:szCs w:val="32"/>
        </w:rPr>
        <w:footnoteReference w:id="8"/>
      </w:r>
      <w:r>
        <w:rPr>
          <w:rFonts w:hint="eastAsia" w:ascii="仿宋" w:hAnsi="仿宋" w:eastAsia="仿宋" w:cs="仿宋_GB2312"/>
          <w:bCs/>
          <w:sz w:val="32"/>
          <w:szCs w:val="32"/>
        </w:rPr>
        <w:t>，数量为</w:t>
      </w:r>
      <w:bookmarkStart w:id="7" w:name="OLE_LINK20"/>
      <w:r>
        <w:rPr>
          <w:rFonts w:ascii="仿宋" w:hAnsi="仿宋" w:eastAsia="仿宋" w:cs="仿宋_GB2312"/>
          <w:bCs/>
          <w:sz w:val="32"/>
          <w:szCs w:val="32"/>
        </w:rPr>
        <w:t>2274.74</w:t>
      </w:r>
      <w:bookmarkEnd w:id="7"/>
      <w:r>
        <w:rPr>
          <w:rFonts w:hint="eastAsia" w:ascii="仿宋" w:hAnsi="仿宋" w:eastAsia="仿宋" w:cs="仿宋_GB2312"/>
          <w:bCs/>
          <w:sz w:val="32"/>
          <w:szCs w:val="32"/>
        </w:rPr>
        <w:t>吨</w:t>
      </w:r>
      <w:bookmarkEnd w:id="6"/>
      <w:r>
        <w:rPr>
          <w:rFonts w:hint="eastAsia" w:ascii="仿宋" w:hAnsi="仿宋" w:eastAsia="仿宋" w:cs="仿宋_GB2312"/>
          <w:bCs/>
          <w:sz w:val="32"/>
          <w:szCs w:val="32"/>
        </w:rPr>
        <w:t>，总金额为</w:t>
      </w:r>
      <w:r>
        <w:rPr>
          <w:rFonts w:ascii="仿宋" w:hAnsi="仿宋" w:eastAsia="仿宋" w:cs="仿宋_GB2312"/>
          <w:bCs/>
          <w:sz w:val="32"/>
          <w:szCs w:val="32"/>
        </w:rPr>
        <w:t>782445.52</w:t>
      </w:r>
      <w:r>
        <w:rPr>
          <w:rFonts w:hint="eastAsia" w:ascii="仿宋" w:hAnsi="仿宋" w:eastAsia="仿宋" w:cs="仿宋_GB2312"/>
          <w:bCs/>
          <w:sz w:val="32"/>
          <w:szCs w:val="32"/>
        </w:rPr>
        <w:t>元（不含税）；公安机关对吴福源进行讯问并制作的讯问笔录及对上述发票载明购买方相关人员进行询问并制作的询问笔录。相关供述内容证明18张销售发票对应的2274.74吨水泥由吴福源销售，系新罗区华年新型建材厂生产。鉴于上述18张销售发票的开票日期为2021年8月24日至2021年11月13日期间，据此将该部分销售数量认定为涉案的生产水泥数量及吴福源销售的水泥数量并无不妥。</w:t>
      </w:r>
    </w:p>
    <w:p w14:paraId="2511916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_GB2312"/>
          <w:bCs/>
          <w:sz w:val="32"/>
          <w:szCs w:val="32"/>
        </w:rPr>
      </w:pPr>
      <w:r>
        <w:rPr>
          <w:rFonts w:hint="eastAsia" w:ascii="仿宋" w:hAnsi="仿宋" w:eastAsia="仿宋" w:cs="仿宋_GB2312"/>
          <w:bCs/>
          <w:sz w:val="32"/>
          <w:szCs w:val="32"/>
        </w:rPr>
        <w:t>综上所述，结合在案证据，认定当事人未取得生产许可证而擅自生产列入目录的水泥数量为</w:t>
      </w:r>
      <w:bookmarkStart w:id="8" w:name="OLE_LINK25"/>
      <w:r>
        <w:rPr>
          <w:rFonts w:ascii="仿宋" w:hAnsi="仿宋" w:eastAsia="仿宋" w:cs="仿宋_GB2312"/>
          <w:bCs/>
          <w:sz w:val="32"/>
          <w:szCs w:val="32"/>
        </w:rPr>
        <w:t>4920.24</w:t>
      </w:r>
      <w:bookmarkEnd w:id="8"/>
      <w:r>
        <w:rPr>
          <w:rFonts w:hint="eastAsia" w:ascii="仿宋" w:hAnsi="仿宋" w:eastAsia="仿宋" w:cs="仿宋_GB2312"/>
          <w:bCs/>
          <w:sz w:val="32"/>
          <w:szCs w:val="32"/>
        </w:rPr>
        <w:t>吨</w:t>
      </w:r>
      <w:r>
        <w:rPr>
          <w:rStyle w:val="16"/>
          <w:rFonts w:hint="eastAsia" w:ascii="仿宋" w:hAnsi="仿宋" w:eastAsia="仿宋" w:cs="仿宋_GB2312"/>
          <w:bCs/>
          <w:sz w:val="32"/>
          <w:szCs w:val="32"/>
        </w:rPr>
        <w:footnoteReference w:id="9"/>
      </w:r>
      <w:r>
        <w:rPr>
          <w:rFonts w:hint="eastAsia" w:ascii="仿宋" w:hAnsi="仿宋" w:eastAsia="仿宋" w:cs="仿宋_GB2312"/>
          <w:bCs/>
          <w:sz w:val="32"/>
          <w:szCs w:val="32"/>
        </w:rPr>
        <w:t>。上述18张发票载明的平均销售价格为</w:t>
      </w:r>
      <w:r>
        <w:rPr>
          <w:rFonts w:ascii="仿宋" w:hAnsi="仿宋" w:eastAsia="仿宋" w:cs="仿宋_GB2312"/>
          <w:bCs/>
          <w:sz w:val="32"/>
          <w:szCs w:val="32"/>
        </w:rPr>
        <w:t>388.6</w:t>
      </w:r>
      <w:r>
        <w:rPr>
          <w:rFonts w:hint="eastAsia" w:ascii="仿宋" w:hAnsi="仿宋" w:eastAsia="仿宋" w:cs="仿宋_GB2312"/>
          <w:bCs/>
          <w:sz w:val="32"/>
          <w:szCs w:val="32"/>
        </w:rPr>
        <w:t>9元/吨（不含税），最低销售价格</w:t>
      </w:r>
      <w:bookmarkStart w:id="9" w:name="OLE_LINK4"/>
      <w:r>
        <w:rPr>
          <w:rFonts w:ascii="仿宋" w:hAnsi="仿宋" w:eastAsia="仿宋" w:cs="仿宋_GB2312"/>
          <w:bCs/>
          <w:sz w:val="32"/>
          <w:szCs w:val="32"/>
        </w:rPr>
        <w:t>307.82</w:t>
      </w:r>
      <w:bookmarkEnd w:id="9"/>
      <w:r>
        <w:rPr>
          <w:rFonts w:hint="eastAsia" w:ascii="仿宋" w:hAnsi="仿宋" w:eastAsia="仿宋" w:cs="仿宋_GB2312"/>
          <w:bCs/>
          <w:sz w:val="32"/>
          <w:szCs w:val="32"/>
        </w:rPr>
        <w:t>元/吨（不含税），总金额为</w:t>
      </w:r>
      <w:bookmarkStart w:id="10" w:name="OLE_LINK24"/>
      <w:r>
        <w:rPr>
          <w:rFonts w:ascii="仿宋" w:hAnsi="仿宋" w:eastAsia="仿宋" w:cs="仿宋_GB2312"/>
          <w:bCs/>
          <w:sz w:val="32"/>
          <w:szCs w:val="32"/>
        </w:rPr>
        <w:t>782445.52</w:t>
      </w:r>
      <w:bookmarkEnd w:id="10"/>
      <w:r>
        <w:rPr>
          <w:rFonts w:hint="eastAsia" w:ascii="仿宋" w:hAnsi="仿宋" w:eastAsia="仿宋" w:cs="仿宋_GB2312"/>
          <w:bCs/>
          <w:sz w:val="32"/>
          <w:szCs w:val="32"/>
        </w:rPr>
        <w:t>元（不含税）。我局向相关当事人送达《限期提供材料通知书》，要求当事人限期提交相关材料，当事人未能提供相关原料及销售报表</w:t>
      </w:r>
      <w:bookmarkStart w:id="11" w:name="OLE_LINK3"/>
      <w:r>
        <w:rPr>
          <w:rFonts w:hint="eastAsia" w:ascii="仿宋" w:hAnsi="仿宋" w:eastAsia="仿宋" w:cs="仿宋_GB2312"/>
          <w:bCs/>
          <w:sz w:val="32"/>
          <w:szCs w:val="32"/>
        </w:rPr>
        <w:t>。上述2021年4月10日至6月30日期间生产的2645.5吨</w:t>
      </w:r>
      <w:bookmarkEnd w:id="11"/>
      <w:r>
        <w:rPr>
          <w:rFonts w:hint="eastAsia" w:ascii="仿宋" w:hAnsi="仿宋" w:eastAsia="仿宋" w:cs="仿宋_GB2312"/>
          <w:bCs/>
          <w:sz w:val="32"/>
          <w:szCs w:val="32"/>
        </w:rPr>
        <w:t>水泥无法确定销售去向及销售价格。从有利于当事人的角度，根据发票的最低销售价格计算，该部分</w:t>
      </w:r>
      <w:bookmarkStart w:id="12" w:name="OLE_LINK22"/>
      <w:r>
        <w:rPr>
          <w:rFonts w:hint="eastAsia" w:ascii="仿宋" w:hAnsi="仿宋" w:eastAsia="仿宋" w:cs="仿宋_GB2312"/>
          <w:bCs/>
          <w:sz w:val="32"/>
          <w:szCs w:val="32"/>
        </w:rPr>
        <w:t>2645.5</w:t>
      </w:r>
      <w:bookmarkEnd w:id="12"/>
      <w:r>
        <w:rPr>
          <w:rFonts w:hint="eastAsia" w:ascii="仿宋" w:hAnsi="仿宋" w:eastAsia="仿宋" w:cs="仿宋_GB2312"/>
          <w:bCs/>
          <w:sz w:val="32"/>
          <w:szCs w:val="32"/>
        </w:rPr>
        <w:t>吨涉案水泥货值金额为</w:t>
      </w:r>
      <w:bookmarkStart w:id="13" w:name="OLE_LINK23"/>
      <w:r>
        <w:rPr>
          <w:rFonts w:ascii="仿宋" w:hAnsi="仿宋" w:eastAsia="仿宋" w:cs="仿宋_GB2312"/>
          <w:bCs/>
          <w:sz w:val="32"/>
          <w:szCs w:val="32"/>
        </w:rPr>
        <w:t>814337.81</w:t>
      </w:r>
      <w:bookmarkEnd w:id="13"/>
      <w:r>
        <w:rPr>
          <w:rFonts w:hint="eastAsia" w:ascii="仿宋" w:hAnsi="仿宋" w:eastAsia="仿宋" w:cs="仿宋_GB2312"/>
          <w:bCs/>
          <w:sz w:val="32"/>
          <w:szCs w:val="32"/>
        </w:rPr>
        <w:t>元</w:t>
      </w:r>
      <w:r>
        <w:rPr>
          <w:rStyle w:val="16"/>
          <w:rFonts w:hint="eastAsia" w:ascii="仿宋" w:hAnsi="仿宋" w:eastAsia="仿宋" w:cs="仿宋_GB2312"/>
          <w:bCs/>
          <w:sz w:val="32"/>
          <w:szCs w:val="32"/>
        </w:rPr>
        <w:footnoteReference w:id="10"/>
      </w:r>
      <w:r>
        <w:rPr>
          <w:rFonts w:hint="eastAsia" w:ascii="仿宋" w:hAnsi="仿宋" w:eastAsia="仿宋" w:cs="仿宋_GB2312"/>
          <w:bCs/>
          <w:sz w:val="32"/>
          <w:szCs w:val="32"/>
        </w:rPr>
        <w:t>。当事人没有提供原材料进货台账和生产记录，无法核实其实际生产成本。综上所述，当事人未取得生产许可证而擅自生产列入目录的水泥货值金额总计</w:t>
      </w:r>
      <w:r>
        <w:rPr>
          <w:rFonts w:ascii="仿宋" w:hAnsi="仿宋" w:eastAsia="仿宋" w:cs="仿宋_GB2312"/>
          <w:bCs/>
          <w:sz w:val="32"/>
          <w:szCs w:val="32"/>
        </w:rPr>
        <w:t>1596783.33</w:t>
      </w:r>
      <w:r>
        <w:rPr>
          <w:rFonts w:hint="eastAsia" w:ascii="仿宋" w:hAnsi="仿宋" w:eastAsia="仿宋" w:cs="仿宋_GB2312"/>
          <w:bCs/>
          <w:sz w:val="32"/>
          <w:szCs w:val="32"/>
        </w:rPr>
        <w:t>元</w:t>
      </w:r>
      <w:r>
        <w:rPr>
          <w:rStyle w:val="16"/>
          <w:rFonts w:hint="eastAsia" w:ascii="仿宋" w:hAnsi="仿宋" w:eastAsia="仿宋" w:cs="仿宋_GB2312"/>
          <w:bCs/>
          <w:sz w:val="32"/>
          <w:szCs w:val="32"/>
        </w:rPr>
        <w:footnoteReference w:id="11"/>
      </w:r>
      <w:r>
        <w:rPr>
          <w:rFonts w:hint="eastAsia" w:ascii="仿宋" w:hAnsi="仿宋" w:eastAsia="仿宋" w:cs="仿宋_GB2312"/>
          <w:bCs/>
          <w:sz w:val="32"/>
          <w:szCs w:val="32"/>
        </w:rPr>
        <w:t>，违法所得为</w:t>
      </w:r>
      <w:bookmarkStart w:id="14" w:name="OLE_LINK31"/>
      <w:r>
        <w:rPr>
          <w:rFonts w:ascii="仿宋" w:hAnsi="仿宋" w:eastAsia="仿宋" w:cs="仿宋_GB2312"/>
          <w:bCs/>
          <w:sz w:val="32"/>
          <w:szCs w:val="32"/>
        </w:rPr>
        <w:t>73803.6</w:t>
      </w:r>
      <w:r>
        <w:rPr>
          <w:rFonts w:hint="eastAsia" w:ascii="仿宋" w:hAnsi="仿宋" w:eastAsia="仿宋" w:cs="仿宋_GB2312"/>
          <w:bCs/>
          <w:sz w:val="32"/>
          <w:szCs w:val="32"/>
        </w:rPr>
        <w:t>元</w:t>
      </w:r>
      <w:r>
        <w:rPr>
          <w:rStyle w:val="16"/>
          <w:rFonts w:hint="eastAsia" w:ascii="仿宋" w:hAnsi="仿宋" w:eastAsia="仿宋" w:cs="仿宋_GB2312"/>
          <w:bCs/>
          <w:sz w:val="32"/>
          <w:szCs w:val="32"/>
        </w:rPr>
        <w:footnoteReference w:id="12"/>
      </w:r>
      <w:bookmarkEnd w:id="14"/>
      <w:r>
        <w:rPr>
          <w:rFonts w:hint="eastAsia" w:ascii="仿宋" w:hAnsi="仿宋" w:eastAsia="仿宋" w:cs="仿宋_GB2312"/>
          <w:bCs/>
          <w:sz w:val="32"/>
          <w:szCs w:val="32"/>
        </w:rPr>
        <w:t>。</w:t>
      </w:r>
    </w:p>
    <w:p w14:paraId="2E0339B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上述事实，主要有以下证据证明：</w:t>
      </w:r>
    </w:p>
    <w:p w14:paraId="4CCAD90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第一组证据：《案件来源登记表》1张、《立案审批表》1张、《行政处罚案件有关事项审批表》2张、《撤销案件决定书》（龙公新（适中）撤案字</w:t>
      </w:r>
      <w:bookmarkStart w:id="15" w:name="OLE_LINK38"/>
      <w:r>
        <w:rPr>
          <w:rFonts w:hint="eastAsia" w:ascii="仿宋" w:hAnsi="仿宋" w:eastAsia="仿宋"/>
          <w:sz w:val="32"/>
          <w:szCs w:val="32"/>
        </w:rPr>
        <w:t>﹝2024﹞</w:t>
      </w:r>
      <w:bookmarkEnd w:id="15"/>
      <w:r>
        <w:rPr>
          <w:rFonts w:hint="eastAsia" w:ascii="仿宋" w:hAnsi="仿宋" w:eastAsia="仿宋"/>
          <w:sz w:val="32"/>
          <w:szCs w:val="32"/>
        </w:rPr>
        <w:t>00002号）及《随案移交物品、文件清单》各1张、《现场笔录》1份、照片6张、龙岩市万融家居物业管理有限公司出具《情况说明》1张。</w:t>
      </w:r>
    </w:p>
    <w:p w14:paraId="1CF4EBC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第二组证据：</w:t>
      </w:r>
      <w:r>
        <w:rPr>
          <w:rFonts w:hint="eastAsia" w:ascii="仿宋" w:hAnsi="仿宋" w:eastAsia="仿宋" w:cs="仿宋_GB2312"/>
          <w:bCs/>
          <w:sz w:val="32"/>
          <w:szCs w:val="32"/>
        </w:rPr>
        <w:t>新罗区华年新型建材厂、龙岩市鑫享恒源贸易有限公司</w:t>
      </w:r>
      <w:r>
        <w:rPr>
          <w:rFonts w:hint="eastAsia" w:ascii="仿宋" w:hAnsi="仿宋" w:eastAsia="仿宋"/>
          <w:sz w:val="32"/>
          <w:szCs w:val="32"/>
        </w:rPr>
        <w:t>的营业执照复印件各1张，陈玲玲授权委托书1份，陈玲玲、黄华鸣、吴福源和刘伟东身份证复印件各1张。2</w:t>
      </w:r>
      <w:r>
        <w:rPr>
          <w:rFonts w:ascii="仿宋" w:hAnsi="仿宋" w:eastAsia="仿宋"/>
          <w:sz w:val="32"/>
          <w:szCs w:val="32"/>
        </w:rPr>
        <w:t>021</w:t>
      </w:r>
      <w:r>
        <w:rPr>
          <w:rFonts w:hint="eastAsia" w:ascii="仿宋" w:hAnsi="仿宋" w:eastAsia="仿宋"/>
          <w:sz w:val="32"/>
          <w:szCs w:val="32"/>
        </w:rPr>
        <w:t>年1</w:t>
      </w:r>
      <w:r>
        <w:rPr>
          <w:rFonts w:ascii="仿宋" w:hAnsi="仿宋" w:eastAsia="仿宋"/>
          <w:sz w:val="32"/>
          <w:szCs w:val="32"/>
        </w:rPr>
        <w:t>1</w:t>
      </w:r>
      <w:r>
        <w:rPr>
          <w:rFonts w:hint="eastAsia" w:ascii="仿宋" w:hAnsi="仿宋" w:eastAsia="仿宋"/>
          <w:sz w:val="32"/>
          <w:szCs w:val="32"/>
        </w:rPr>
        <w:t>月2</w:t>
      </w:r>
      <w:r>
        <w:rPr>
          <w:rFonts w:ascii="仿宋" w:hAnsi="仿宋" w:eastAsia="仿宋"/>
          <w:sz w:val="32"/>
          <w:szCs w:val="32"/>
        </w:rPr>
        <w:t>3</w:t>
      </w:r>
      <w:r>
        <w:rPr>
          <w:rFonts w:hint="eastAsia" w:ascii="仿宋" w:hAnsi="仿宋" w:eastAsia="仿宋"/>
          <w:sz w:val="32"/>
          <w:szCs w:val="32"/>
        </w:rPr>
        <w:t>日对</w:t>
      </w:r>
      <w:r>
        <w:rPr>
          <w:rFonts w:hint="eastAsia" w:ascii="仿宋" w:hAnsi="仿宋" w:eastAsia="仿宋" w:cs="仿宋_GB2312"/>
          <w:bCs/>
          <w:sz w:val="32"/>
          <w:szCs w:val="32"/>
        </w:rPr>
        <w:t>新罗区华年新型建材厂实施检查并制作的现场检查笔录1份及照片1</w:t>
      </w:r>
      <w:r>
        <w:rPr>
          <w:rFonts w:ascii="仿宋" w:hAnsi="仿宋" w:eastAsia="仿宋" w:cs="仿宋_GB2312"/>
          <w:bCs/>
          <w:sz w:val="32"/>
          <w:szCs w:val="32"/>
        </w:rPr>
        <w:t>2</w:t>
      </w:r>
      <w:r>
        <w:rPr>
          <w:rFonts w:hint="eastAsia" w:ascii="仿宋" w:hAnsi="仿宋" w:eastAsia="仿宋" w:cs="仿宋_GB2312"/>
          <w:bCs/>
          <w:sz w:val="32"/>
          <w:szCs w:val="32"/>
        </w:rPr>
        <w:t>张；《电子证据提存笔录》3份；对黄华鸣进行询问并制作的询问笔录</w:t>
      </w:r>
      <w:r>
        <w:rPr>
          <w:rFonts w:ascii="仿宋" w:hAnsi="仿宋" w:eastAsia="仿宋" w:cs="仿宋_GB2312"/>
          <w:bCs/>
          <w:sz w:val="32"/>
          <w:szCs w:val="32"/>
        </w:rPr>
        <w:t>3</w:t>
      </w:r>
      <w:r>
        <w:rPr>
          <w:rFonts w:hint="eastAsia" w:ascii="仿宋" w:hAnsi="仿宋" w:eastAsia="仿宋" w:cs="仿宋_GB2312"/>
          <w:bCs/>
          <w:sz w:val="32"/>
          <w:szCs w:val="32"/>
        </w:rPr>
        <w:t>份；对吴福源进行询问并制作的询问笔录2份；对刘伟东进行询问并制作的询问笔录</w:t>
      </w:r>
      <w:r>
        <w:rPr>
          <w:rFonts w:ascii="仿宋" w:hAnsi="仿宋" w:eastAsia="仿宋" w:cs="仿宋_GB2312"/>
          <w:bCs/>
          <w:sz w:val="32"/>
          <w:szCs w:val="32"/>
        </w:rPr>
        <w:t>1</w:t>
      </w:r>
      <w:r>
        <w:rPr>
          <w:rFonts w:hint="eastAsia" w:ascii="仿宋" w:hAnsi="仿宋" w:eastAsia="仿宋" w:cs="仿宋_GB2312"/>
          <w:bCs/>
          <w:sz w:val="32"/>
          <w:szCs w:val="32"/>
        </w:rPr>
        <w:t>份；对杨长汀进行询问并制作的询问笔录</w:t>
      </w:r>
      <w:r>
        <w:rPr>
          <w:rFonts w:ascii="仿宋" w:hAnsi="仿宋" w:eastAsia="仿宋" w:cs="仿宋_GB2312"/>
          <w:bCs/>
          <w:sz w:val="32"/>
          <w:szCs w:val="32"/>
        </w:rPr>
        <w:t>1</w:t>
      </w:r>
      <w:r>
        <w:rPr>
          <w:rFonts w:hint="eastAsia" w:ascii="仿宋" w:hAnsi="仿宋" w:eastAsia="仿宋" w:cs="仿宋_GB2312"/>
          <w:bCs/>
          <w:sz w:val="32"/>
          <w:szCs w:val="32"/>
        </w:rPr>
        <w:t>份</w:t>
      </w:r>
      <w:r>
        <w:rPr>
          <w:rFonts w:hint="eastAsia" w:ascii="仿宋" w:hAnsi="仿宋" w:eastAsia="仿宋"/>
          <w:sz w:val="32"/>
          <w:szCs w:val="32"/>
        </w:rPr>
        <w:t>。</w:t>
      </w:r>
    </w:p>
    <w:p w14:paraId="7B065CB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第三组证据（销售相关）：黄华鸣提供的</w:t>
      </w:r>
      <w:r>
        <w:rPr>
          <w:rFonts w:hint="eastAsia" w:ascii="仿宋" w:hAnsi="仿宋" w:eastAsia="仿宋" w:cs="仿宋_GB2312"/>
          <w:bCs/>
          <w:sz w:val="32"/>
          <w:szCs w:val="32"/>
        </w:rPr>
        <w:t>《水泥出仓表》复印件5张；吴福源提供的销售明细及中国农业银行业务回单复印件共4张、开票系统截图3张、销售发票复印件1</w:t>
      </w:r>
      <w:r>
        <w:rPr>
          <w:rFonts w:ascii="仿宋" w:hAnsi="仿宋" w:eastAsia="仿宋" w:cs="仿宋_GB2312"/>
          <w:bCs/>
          <w:sz w:val="32"/>
          <w:szCs w:val="32"/>
        </w:rPr>
        <w:t>1</w:t>
      </w:r>
      <w:r>
        <w:rPr>
          <w:rFonts w:hint="eastAsia" w:ascii="仿宋" w:hAnsi="仿宋" w:eastAsia="仿宋" w:cs="仿宋_GB2312"/>
          <w:bCs/>
          <w:sz w:val="32"/>
          <w:szCs w:val="32"/>
        </w:rPr>
        <w:t>张、水泥销售明细表1份共1</w:t>
      </w:r>
      <w:r>
        <w:rPr>
          <w:rFonts w:ascii="仿宋" w:hAnsi="仿宋" w:eastAsia="仿宋" w:cs="仿宋_GB2312"/>
          <w:bCs/>
          <w:sz w:val="32"/>
          <w:szCs w:val="32"/>
        </w:rPr>
        <w:t>0</w:t>
      </w:r>
      <w:r>
        <w:rPr>
          <w:rFonts w:hint="eastAsia" w:ascii="仿宋" w:hAnsi="仿宋" w:eastAsia="仿宋" w:cs="仿宋_GB2312"/>
          <w:bCs/>
          <w:sz w:val="32"/>
          <w:szCs w:val="32"/>
        </w:rPr>
        <w:t>页。</w:t>
      </w:r>
    </w:p>
    <w:p w14:paraId="3E203C3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第四组证据（购进原料）：福建中森蓝冠建材有限公司提供的《供货合同》复印件1份、《发货清单》1份共4张、福建蓝田水泥有限公司货款结款单5张（2</w:t>
      </w:r>
      <w:r>
        <w:rPr>
          <w:rFonts w:ascii="仿宋" w:hAnsi="仿宋" w:eastAsia="仿宋"/>
          <w:sz w:val="32"/>
          <w:szCs w:val="32"/>
        </w:rPr>
        <w:t>021</w:t>
      </w:r>
      <w:r>
        <w:rPr>
          <w:rFonts w:hint="eastAsia" w:ascii="仿宋" w:hAnsi="仿宋" w:eastAsia="仿宋"/>
          <w:sz w:val="32"/>
          <w:szCs w:val="32"/>
        </w:rPr>
        <w:t>年7月至2</w:t>
      </w:r>
      <w:r>
        <w:rPr>
          <w:rFonts w:ascii="仿宋" w:hAnsi="仿宋" w:eastAsia="仿宋"/>
          <w:sz w:val="32"/>
          <w:szCs w:val="32"/>
        </w:rPr>
        <w:t>021</w:t>
      </w:r>
      <w:r>
        <w:rPr>
          <w:rFonts w:hint="eastAsia" w:ascii="仿宋" w:hAnsi="仿宋" w:eastAsia="仿宋"/>
          <w:sz w:val="32"/>
          <w:szCs w:val="32"/>
        </w:rPr>
        <w:t>年1</w:t>
      </w:r>
      <w:r>
        <w:rPr>
          <w:rFonts w:ascii="仿宋" w:hAnsi="仿宋" w:eastAsia="仿宋"/>
          <w:sz w:val="32"/>
          <w:szCs w:val="32"/>
        </w:rPr>
        <w:t>1</w:t>
      </w:r>
      <w:r>
        <w:rPr>
          <w:rFonts w:hint="eastAsia" w:ascii="仿宋" w:hAnsi="仿宋" w:eastAsia="仿宋"/>
          <w:sz w:val="32"/>
          <w:szCs w:val="32"/>
        </w:rPr>
        <w:t>月）；龙岩市宇联重钙有限公司提供的《说明函》及过磅单复印件4张、对账单、收款收据复印件4张、产品检验报告单复印件2张；</w:t>
      </w:r>
      <w:r>
        <w:rPr>
          <w:rFonts w:hint="eastAsia" w:ascii="仿宋" w:hAnsi="仿宋" w:eastAsia="仿宋" w:cs="仿宋_GB2312"/>
          <w:bCs/>
          <w:sz w:val="32"/>
          <w:szCs w:val="32"/>
        </w:rPr>
        <w:t>吴福源提供的散泥进货对账单复印件1张、进货发票复印件1</w:t>
      </w:r>
      <w:r>
        <w:rPr>
          <w:rFonts w:ascii="仿宋" w:hAnsi="仿宋" w:eastAsia="仿宋" w:cs="仿宋_GB2312"/>
          <w:bCs/>
          <w:sz w:val="32"/>
          <w:szCs w:val="32"/>
        </w:rPr>
        <w:t>3</w:t>
      </w:r>
      <w:r>
        <w:rPr>
          <w:rFonts w:hint="eastAsia" w:ascii="仿宋" w:hAnsi="仿宋" w:eastAsia="仿宋" w:cs="仿宋_GB2312"/>
          <w:bCs/>
          <w:sz w:val="32"/>
          <w:szCs w:val="32"/>
        </w:rPr>
        <w:t>张、水泥包装袋采购明细表1张；黄华鸣提供的转账回单打印件1张、微信聊天记录打印件</w:t>
      </w:r>
      <w:r>
        <w:rPr>
          <w:rFonts w:ascii="仿宋" w:hAnsi="仿宋" w:eastAsia="仿宋" w:cs="仿宋_GB2312"/>
          <w:bCs/>
          <w:sz w:val="32"/>
          <w:szCs w:val="32"/>
        </w:rPr>
        <w:t>1</w:t>
      </w:r>
      <w:r>
        <w:rPr>
          <w:rFonts w:hint="eastAsia" w:ascii="仿宋" w:hAnsi="仿宋" w:eastAsia="仿宋" w:cs="仿宋_GB2312"/>
          <w:bCs/>
          <w:sz w:val="32"/>
          <w:szCs w:val="32"/>
        </w:rPr>
        <w:t>张、对账单表格2张、《材料进仓表》复印件1张。</w:t>
      </w:r>
    </w:p>
    <w:p w14:paraId="75B1D79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第五组证据（角色分工）：吴福源提供的《华年厂合作》协议复印件1张、2</w:t>
      </w:r>
      <w:r>
        <w:rPr>
          <w:rFonts w:ascii="仿宋" w:hAnsi="仿宋" w:eastAsia="仿宋"/>
          <w:sz w:val="32"/>
          <w:szCs w:val="32"/>
        </w:rPr>
        <w:t>021</w:t>
      </w:r>
      <w:r>
        <w:rPr>
          <w:rFonts w:hint="eastAsia" w:ascii="仿宋" w:hAnsi="仿宋" w:eastAsia="仿宋"/>
          <w:sz w:val="32"/>
          <w:szCs w:val="32"/>
        </w:rPr>
        <w:t>年4月份、5月份和</w:t>
      </w:r>
      <w:r>
        <w:rPr>
          <w:rFonts w:ascii="仿宋" w:hAnsi="仿宋" w:eastAsia="仿宋"/>
          <w:sz w:val="32"/>
          <w:szCs w:val="32"/>
        </w:rPr>
        <w:t>6</w:t>
      </w:r>
      <w:r>
        <w:rPr>
          <w:rFonts w:hint="eastAsia" w:ascii="仿宋" w:hAnsi="仿宋" w:eastAsia="仿宋"/>
          <w:sz w:val="32"/>
          <w:szCs w:val="32"/>
        </w:rPr>
        <w:t>月份结算单复印件3张、聊天记录（转账）截图</w:t>
      </w:r>
      <w:r>
        <w:rPr>
          <w:rFonts w:ascii="仿宋" w:hAnsi="仿宋" w:eastAsia="仿宋"/>
          <w:sz w:val="32"/>
          <w:szCs w:val="32"/>
        </w:rPr>
        <w:t>3</w:t>
      </w:r>
      <w:r>
        <w:rPr>
          <w:rFonts w:hint="eastAsia" w:ascii="仿宋" w:hAnsi="仿宋" w:eastAsia="仿宋"/>
          <w:sz w:val="32"/>
          <w:szCs w:val="32"/>
        </w:rPr>
        <w:t>张；黄华鸣提供的与刘伟东微信聊天记录截图7张、《协议》复印件1张、与吴福源聊天记录截图1张；刘伟东提供的与黄华鸣微信聊天记录截图3张、与吴福源微信聊天记录截图2张。</w:t>
      </w:r>
    </w:p>
    <w:p w14:paraId="42A80FF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第六组证据（商标相关）：吴福源提供的商标授权使用书复印件1张、转让协议等相关证明材料1份；黄华鸣提供的《商标授权使用许可合同》复印件1份、《商标申请受理通知书》复印件和《商标注册证》复印件各1张。</w:t>
      </w:r>
    </w:p>
    <w:p w14:paraId="4478A65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第七组证据：吴福源提供的中国农业银行业务回单复印件3</w:t>
      </w:r>
      <w:r>
        <w:rPr>
          <w:rFonts w:ascii="仿宋" w:hAnsi="仿宋" w:eastAsia="仿宋"/>
          <w:sz w:val="32"/>
          <w:szCs w:val="32"/>
        </w:rPr>
        <w:t>6</w:t>
      </w:r>
      <w:r>
        <w:rPr>
          <w:rFonts w:hint="eastAsia" w:ascii="仿宋" w:hAnsi="仿宋" w:eastAsia="仿宋"/>
          <w:sz w:val="32"/>
          <w:szCs w:val="32"/>
        </w:rPr>
        <w:t>张、信丰县连丰水泥有限责任公司营业执照复印件和《全国工业产品生产许可证》复印件各1张。</w:t>
      </w:r>
    </w:p>
    <w:p w14:paraId="6391E88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第八组证据：销售报表、手机取证文件和监控文件等随案电子证据材料。</w:t>
      </w:r>
    </w:p>
    <w:p w14:paraId="6F92D1E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第九组证据：《实施行政强制措施决定书》（岩市监强制〔2021〕21002号）及清单（附送达回证）1份；《解除行政强制措施决定书》（岩市监解强〔2021〕210</w:t>
      </w:r>
      <w:r>
        <w:rPr>
          <w:rFonts w:ascii="仿宋" w:hAnsi="仿宋" w:eastAsia="仿宋"/>
          <w:sz w:val="32"/>
          <w:szCs w:val="32"/>
        </w:rPr>
        <w:t>17</w:t>
      </w:r>
      <w:r>
        <w:rPr>
          <w:rFonts w:hint="eastAsia" w:ascii="仿宋" w:hAnsi="仿宋" w:eastAsia="仿宋"/>
          <w:sz w:val="32"/>
          <w:szCs w:val="32"/>
        </w:rPr>
        <w:t>号）及清单（附送达回证）1份；《责令改正通知书》（岩市监责改〔2021〕2</w:t>
      </w:r>
      <w:r>
        <w:rPr>
          <w:rFonts w:ascii="仿宋" w:hAnsi="仿宋" w:eastAsia="仿宋"/>
          <w:sz w:val="32"/>
          <w:szCs w:val="32"/>
        </w:rPr>
        <w:t>1041</w:t>
      </w:r>
      <w:r>
        <w:rPr>
          <w:rFonts w:hint="eastAsia" w:ascii="仿宋" w:hAnsi="仿宋" w:eastAsia="仿宋"/>
          <w:sz w:val="32"/>
          <w:szCs w:val="32"/>
        </w:rPr>
        <w:t>号）及送达回证1份；《限期提供材料通知书》2份（岩市监新限字〔2021〕5号、岩市监新限字〔2021〕</w:t>
      </w:r>
      <w:r>
        <w:rPr>
          <w:rFonts w:ascii="仿宋" w:hAnsi="仿宋" w:eastAsia="仿宋"/>
          <w:sz w:val="32"/>
          <w:szCs w:val="32"/>
        </w:rPr>
        <w:t>6</w:t>
      </w:r>
      <w:r>
        <w:rPr>
          <w:rFonts w:hint="eastAsia" w:ascii="仿宋" w:hAnsi="仿宋" w:eastAsia="仿宋"/>
          <w:sz w:val="32"/>
          <w:szCs w:val="32"/>
        </w:rPr>
        <w:t>号）及送达回证；《解除行政强制措施决定书》（岩市监解强〔2021〕</w:t>
      </w:r>
      <w:r>
        <w:rPr>
          <w:rFonts w:ascii="仿宋" w:hAnsi="仿宋" w:eastAsia="仿宋"/>
          <w:sz w:val="32"/>
          <w:szCs w:val="32"/>
        </w:rPr>
        <w:t>21033</w:t>
      </w:r>
      <w:r>
        <w:rPr>
          <w:rFonts w:hint="eastAsia" w:ascii="仿宋" w:hAnsi="仿宋" w:eastAsia="仿宋"/>
          <w:sz w:val="32"/>
          <w:szCs w:val="32"/>
        </w:rPr>
        <w:t>号）及清单（附送达回证）1份。</w:t>
      </w:r>
    </w:p>
    <w:p w14:paraId="6E8C11C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第十组证据：龙岩市公安局新罗分局制发的《龙岩市公安局新罗分局【函】》（新公字【2023】515号和新公字【2023】516号）复印件、新罗区市场监督管理局制发的《关于&lt;龙岩市公安局新罗分局【函】&gt;（新公字【2023】515号）的回函》复印件和龙岩市产品质量检验所制发的《复函》复印件各一份。</w:t>
      </w:r>
    </w:p>
    <w:p w14:paraId="0E926D8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第十一组证据：龙岩市公安局新罗分局移来卷宗复印件一卷共169页。</w:t>
      </w:r>
    </w:p>
    <w:p w14:paraId="6DD47770">
      <w:pPr>
        <w:keepNext w:val="0"/>
        <w:keepLines w:val="0"/>
        <w:pageBreakBefore w:val="0"/>
        <w:widowControl w:val="0"/>
        <w:kinsoku/>
        <w:wordWrap/>
        <w:overflowPunct/>
        <w:topLinePunct w:val="0"/>
        <w:autoSpaceDE/>
        <w:autoSpaceDN/>
        <w:bidi w:val="0"/>
        <w:spacing w:line="560" w:lineRule="exact"/>
        <w:ind w:firstLine="600"/>
        <w:textAlignment w:val="auto"/>
        <w:rPr>
          <w:rFonts w:hint="eastAsia" w:ascii="仿宋" w:hAnsi="仿宋" w:eastAsia="仿宋" w:cs="仿宋_GB2312"/>
          <w:bCs/>
          <w:kern w:val="0"/>
          <w:sz w:val="32"/>
          <w:szCs w:val="32"/>
        </w:rPr>
      </w:pPr>
      <w:r>
        <w:rPr>
          <w:rFonts w:hint="eastAsia" w:ascii="仿宋" w:hAnsi="仿宋" w:eastAsia="仿宋"/>
          <w:color w:val="000000"/>
          <w:sz w:val="32"/>
          <w:szCs w:val="32"/>
          <w:u w:color="FFFFFF"/>
        </w:rPr>
        <w:t>以上证据分别由当事人或证据提供人签名签章确认。</w:t>
      </w:r>
    </w:p>
    <w:p w14:paraId="5AF5D43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当事人将水泥制成品中掺入石灰石（在GB175-2007《通用硅酸盐水泥》中，可用石灰石替代活性混合材料）并进行混合，该行为属于2018年12月1日起施行的《水泥产品生产许可证实施细则》定义的配制厂类型，需要取得《工业产品生产许可证》方可组织生产。当事人在未取得《工业产品生产许可证》的情况组织生产，违反《中华人民共和国工业产品生产许可证管理条例》第五条“任何企业未取得生产许可证不得生产列入目录的产品。任何单位和个人不得销售或者在经营活动中使用未取得生产许可证的列入目录的产品。”和《中华人民共和国工业产品生产许可证管理条例实施办法》第五十六条“个体工商户生产、销售或者在经营活动中使用列入目录产品的，依照本办法规定执行。”的规定，构成未取得生产许可证生产列入目录的产品行为。</w:t>
      </w:r>
    </w:p>
    <w:p w14:paraId="1F1EC4DF">
      <w:pPr>
        <w:keepNext w:val="0"/>
        <w:keepLines w:val="0"/>
        <w:pageBreakBefore w:val="0"/>
        <w:widowControl w:val="0"/>
        <w:kinsoku/>
        <w:wordWrap/>
        <w:overflowPunct/>
        <w:topLinePunct w:val="0"/>
        <w:autoSpaceDE/>
        <w:autoSpaceDN/>
        <w:bidi w:val="0"/>
        <w:snapToGrid w:val="0"/>
        <w:spacing w:line="560" w:lineRule="exact"/>
        <w:ind w:firstLine="627" w:firstLineChars="196"/>
        <w:textAlignment w:val="auto"/>
        <w:rPr>
          <w:rFonts w:hint="eastAsia" w:ascii="仿宋" w:hAnsi="仿宋" w:eastAsia="仿宋"/>
          <w:sz w:val="32"/>
          <w:szCs w:val="32"/>
        </w:rPr>
      </w:pPr>
      <w:bookmarkStart w:id="16" w:name="OLE_LINK9"/>
      <w:r>
        <w:rPr>
          <w:rFonts w:hint="eastAsia" w:ascii="仿宋" w:hAnsi="仿宋" w:eastAsia="仿宋"/>
          <w:sz w:val="32"/>
          <w:szCs w:val="32"/>
        </w:rPr>
        <w:t>《国家技术监督局关于印发技术监督行政案件“违法所得”、“非法收入”计算意见的通知》（法发(1990)485号）根据不同情形采取的是将全部销售收入认定为违法所得或允许扣除合理成本。现行有效的《工商行政管理机关行政处罚案件违法所得认定办法》采取的是利润说，即明确允许扣除成本。</w:t>
      </w:r>
      <w:bookmarkEnd w:id="16"/>
      <w:r>
        <w:rPr>
          <w:rFonts w:hint="eastAsia" w:ascii="仿宋" w:hAnsi="仿宋" w:eastAsia="仿宋" w:cs="仿宋_GB2312"/>
          <w:bCs/>
          <w:sz w:val="32"/>
          <w:szCs w:val="32"/>
        </w:rPr>
        <w:t>从合作协议可知，当事人的收益分为两部分，一部分是每吨水泥15元的工资收益共计73803.6元 ，另一部分是供应石粉可能带来的获益。因其未提供相关原料采购报表及台账，其石粉采购成本及后期石粉采购数量无法确定，该部分获益无法计算。据此认定其违法所得为73803.6元。</w:t>
      </w:r>
    </w:p>
    <w:p w14:paraId="46055852">
      <w:pPr>
        <w:pStyle w:val="28"/>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sz w:val="32"/>
          <w:szCs w:val="32"/>
        </w:rPr>
      </w:pPr>
      <w:r>
        <w:rPr>
          <w:rFonts w:hint="eastAsia" w:ascii="仿宋" w:hAnsi="仿宋" w:eastAsia="仿宋" w:cs="仿宋_GB2312"/>
          <w:bCs/>
          <w:sz w:val="32"/>
          <w:szCs w:val="32"/>
        </w:rPr>
        <w:t>当事人不具有《福建省市场监督管理局关于行政处罚裁量权的适用规则》规定的从轻或者减轻行政处罚或者从重处罚的情形。综合全案其他情节，拟给予当事人一般行政处罚。</w:t>
      </w:r>
    </w:p>
    <w:p w14:paraId="6E8FFE7B">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 w:hAnsi="仿宋" w:eastAsia="仿宋" w:cs="仿宋_GB2312"/>
          <w:bCs/>
          <w:sz w:val="32"/>
          <w:szCs w:val="32"/>
        </w:rPr>
      </w:pPr>
      <w:r>
        <w:rPr>
          <w:rFonts w:hint="eastAsia" w:ascii="仿宋" w:hAnsi="仿宋" w:eastAsia="仿宋" w:cs="仿宋_GB2312"/>
          <w:bCs/>
          <w:sz w:val="32"/>
          <w:szCs w:val="32"/>
        </w:rPr>
        <w:t>当事人的行为违反《中华人民共和国工业产品生产许可证管理条例》第五条的规定，鉴于其货值金额为1596783.33元，违法所得为73803.6元，依据《中华人民共和国工业产品生产许可证管理条例》第四十五条的规定，</w:t>
      </w:r>
      <w:r>
        <w:rPr>
          <w:rFonts w:hint="eastAsia" w:ascii="仿宋" w:hAnsi="仿宋" w:eastAsia="仿宋" w:cs="仿宋_GB2312"/>
          <w:bCs/>
          <w:sz w:val="32"/>
          <w:szCs w:val="32"/>
          <w:lang w:val="en-US" w:eastAsia="zh-CN"/>
        </w:rPr>
        <w:t>拟</w:t>
      </w:r>
      <w:r>
        <w:rPr>
          <w:rFonts w:hint="eastAsia" w:ascii="仿宋" w:hAnsi="仿宋" w:eastAsia="仿宋" w:cs="仿宋_GB2312"/>
          <w:bCs/>
          <w:sz w:val="32"/>
          <w:szCs w:val="32"/>
        </w:rPr>
        <w:t>责令当事人立即停止生产，</w:t>
      </w:r>
      <w:r>
        <w:rPr>
          <w:rFonts w:hint="eastAsia" w:ascii="仿宋" w:hAnsi="仿宋" w:eastAsia="仿宋" w:cs="仿宋_GB2312"/>
          <w:bCs/>
          <w:sz w:val="32"/>
          <w:szCs w:val="32"/>
          <w:lang w:val="en-US" w:eastAsia="zh-CN"/>
        </w:rPr>
        <w:t>拟</w:t>
      </w:r>
      <w:r>
        <w:rPr>
          <w:rFonts w:hint="eastAsia" w:ascii="仿宋" w:hAnsi="仿宋" w:eastAsia="仿宋" w:cs="仿宋_GB2312"/>
          <w:bCs/>
          <w:sz w:val="32"/>
          <w:szCs w:val="32"/>
        </w:rPr>
        <w:t>没收违法所得73803.6元，并</w:t>
      </w:r>
      <w:r>
        <w:rPr>
          <w:rFonts w:hint="eastAsia" w:ascii="仿宋" w:hAnsi="仿宋" w:eastAsia="仿宋" w:cs="仿宋_GB2312"/>
          <w:bCs/>
          <w:sz w:val="32"/>
          <w:szCs w:val="32"/>
          <w:lang w:val="en-US" w:eastAsia="zh-CN"/>
        </w:rPr>
        <w:t>拟</w:t>
      </w:r>
      <w:bookmarkStart w:id="19" w:name="_GoBack"/>
      <w:bookmarkEnd w:id="19"/>
      <w:r>
        <w:rPr>
          <w:rFonts w:hint="eastAsia" w:ascii="仿宋" w:hAnsi="仿宋" w:eastAsia="仿宋" w:cs="仿宋_GB2312"/>
          <w:bCs/>
          <w:sz w:val="32"/>
          <w:szCs w:val="32"/>
        </w:rPr>
        <w:t>处以货值金额2倍即3193566.66元罚款，罚没款合计3267370.26元。</w:t>
      </w:r>
    </w:p>
    <w:p w14:paraId="69E7DC66">
      <w:pPr>
        <w:keepNext w:val="0"/>
        <w:keepLines w:val="0"/>
        <w:pageBreakBefore w:val="0"/>
        <w:widowControl w:val="0"/>
        <w:kinsoku/>
        <w:wordWrap/>
        <w:overflowPunct/>
        <w:topLinePunct w:val="0"/>
        <w:autoSpaceDE/>
        <w:autoSpaceDN/>
        <w:bidi w:val="0"/>
        <w:spacing w:line="560" w:lineRule="exact"/>
        <w:ind w:firstLine="601"/>
        <w:textAlignment w:val="auto"/>
        <w:rPr>
          <w:rFonts w:hint="eastAsia" w:ascii="仿宋" w:hAnsi="仿宋" w:eastAsia="仿宋" w:cs="仿宋"/>
          <w:sz w:val="32"/>
          <w:szCs w:val="32"/>
        </w:rPr>
      </w:pPr>
      <w:r>
        <w:rPr>
          <w:rFonts w:hint="eastAsia" w:ascii="仿宋" w:hAnsi="仿宋" w:eastAsia="仿宋" w:cs="仿宋"/>
          <w:spacing w:val="5"/>
          <w:sz w:val="32"/>
          <w:szCs w:val="32"/>
        </w:rPr>
        <w:t>依据《中华人民共和国行政处罚法》第四十四条、第四十五条、第六十三条、第六十四条第一项，《市场监督管理行政处罚程序规定》第五十七条，以及《市场监督管理行政处罚听证办法》第五条的规定，你（单位）有权进行陈述、申辩，并可以要求听证。自收到本告知书之日起五个工作日内未行使陈述、申辩权，未要求听证的，视为放弃此权利。</w:t>
      </w:r>
    </w:p>
    <w:p w14:paraId="38BBBE3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 xml:space="preserve">联系人：  刘迎春    联系电话： </w:t>
      </w:r>
      <w:r>
        <w:rPr>
          <w:rFonts w:hint="eastAsia" w:ascii="仿宋" w:hAnsi="仿宋" w:eastAsia="仿宋" w:cs="仿宋"/>
          <w:sz w:val="32"/>
          <w:szCs w:val="32"/>
          <w:lang w:val="en-US" w:eastAsia="zh-CN"/>
        </w:rPr>
        <w:t>0597-2213169</w:t>
      </w:r>
      <w:r>
        <w:rPr>
          <w:rFonts w:hint="eastAsia" w:ascii="仿宋" w:hAnsi="仿宋" w:eastAsia="仿宋" w:cs="仿宋"/>
          <w:sz w:val="32"/>
          <w:szCs w:val="32"/>
        </w:rPr>
        <w:t xml:space="preserve"> </w:t>
      </w:r>
    </w:p>
    <w:p w14:paraId="252205BA">
      <w:pPr>
        <w:keepNext w:val="0"/>
        <w:keepLines w:val="0"/>
        <w:pageBreakBefore w:val="0"/>
        <w:widowControl w:val="0"/>
        <w:kinsoku/>
        <w:wordWrap/>
        <w:overflowPunct/>
        <w:topLinePunct w:val="0"/>
        <w:autoSpaceDE/>
        <w:autoSpaceDN/>
        <w:bidi w:val="0"/>
        <w:spacing w:line="560" w:lineRule="exact"/>
        <w:ind w:firstLine="601"/>
        <w:textAlignment w:val="auto"/>
        <w:rPr>
          <w:rFonts w:hint="eastAsia" w:ascii="仿宋" w:hAnsi="仿宋" w:eastAsia="仿宋" w:cs="仿宋"/>
          <w:sz w:val="32"/>
          <w:szCs w:val="32"/>
        </w:rPr>
      </w:pPr>
      <w:r>
        <w:rPr>
          <w:rFonts w:hint="eastAsia" w:ascii="仿宋" w:hAnsi="仿宋" w:eastAsia="仿宋" w:cs="仿宋"/>
          <w:sz w:val="32"/>
          <w:szCs w:val="32"/>
        </w:rPr>
        <w:t>联系地址：福建省龙岩市新罗区曹溪街道金鸡西路2号市场监督管理局413室</w:t>
      </w:r>
    </w:p>
    <w:p w14:paraId="1E4F264D">
      <w:pPr>
        <w:keepNext w:val="0"/>
        <w:keepLines w:val="0"/>
        <w:pageBreakBefore w:val="0"/>
        <w:widowControl w:val="0"/>
        <w:kinsoku/>
        <w:wordWrap/>
        <w:overflowPunct/>
        <w:topLinePunct w:val="0"/>
        <w:autoSpaceDE/>
        <w:autoSpaceDN/>
        <w:bidi w:val="0"/>
        <w:spacing w:line="560" w:lineRule="exact"/>
        <w:ind w:firstLine="601"/>
        <w:textAlignment w:val="auto"/>
        <w:rPr>
          <w:rFonts w:hint="eastAsia" w:ascii="仿宋" w:hAnsi="仿宋" w:eastAsia="仿宋" w:cs="仿宋"/>
          <w:color w:val="000000"/>
          <w:sz w:val="32"/>
          <w:szCs w:val="32"/>
        </w:rPr>
      </w:pPr>
    </w:p>
    <w:p w14:paraId="09ECB845">
      <w:pPr>
        <w:keepNext w:val="0"/>
        <w:keepLines w:val="0"/>
        <w:pageBreakBefore w:val="0"/>
        <w:widowControl w:val="0"/>
        <w:kinsoku/>
        <w:wordWrap/>
        <w:overflowPunct/>
        <w:topLinePunct w:val="0"/>
        <w:autoSpaceDE/>
        <w:autoSpaceDN/>
        <w:bidi w:val="0"/>
        <w:spacing w:line="560" w:lineRule="exact"/>
        <w:ind w:firstLine="601"/>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龙岩市新罗区市场监督管理局</w:t>
      </w:r>
    </w:p>
    <w:p w14:paraId="5965EAEF">
      <w:pPr>
        <w:keepNext w:val="0"/>
        <w:keepLines w:val="0"/>
        <w:pageBreakBefore w:val="0"/>
        <w:widowControl w:val="0"/>
        <w:kinsoku/>
        <w:wordWrap/>
        <w:overflowPunct/>
        <w:topLinePunct w:val="0"/>
        <w:autoSpaceDE/>
        <w:autoSpaceDN/>
        <w:bidi w:val="0"/>
        <w:spacing w:line="560" w:lineRule="exact"/>
        <w:ind w:firstLine="601"/>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（印 章）</w:t>
      </w:r>
    </w:p>
    <w:p w14:paraId="0EABEB2F">
      <w:pPr>
        <w:keepNext w:val="0"/>
        <w:keepLines w:val="0"/>
        <w:pageBreakBefore w:val="0"/>
        <w:widowControl w:val="0"/>
        <w:kinsoku/>
        <w:wordWrap/>
        <w:overflowPunct/>
        <w:topLinePunct w:val="0"/>
        <w:autoSpaceDE/>
        <w:autoSpaceDN/>
        <w:bidi w:val="0"/>
        <w:spacing w:line="560" w:lineRule="exact"/>
        <w:ind w:firstLine="60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2025年7月</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日</w:t>
      </w:r>
    </w:p>
    <w:p w14:paraId="10FD36E7">
      <w:pPr>
        <w:keepNext w:val="0"/>
        <w:keepLines w:val="0"/>
        <w:pageBreakBefore w:val="0"/>
        <w:widowControl w:val="0"/>
        <w:kinsoku/>
        <w:wordWrap/>
        <w:overflowPunct/>
        <w:topLinePunct w:val="0"/>
        <w:autoSpaceDE/>
        <w:autoSpaceDN/>
        <w:bidi w:val="0"/>
        <w:spacing w:line="560" w:lineRule="exact"/>
        <w:textAlignment w:val="auto"/>
        <w:rPr>
          <w:rFonts w:ascii="Times New Roman" w:hAnsi="Times New Roman" w:eastAsia="仿宋_GB2312" w:cs="仿宋"/>
          <w:bCs/>
          <w:color w:val="000000"/>
          <w:sz w:val="32"/>
          <w:szCs w:val="32"/>
        </w:rPr>
      </w:pPr>
      <w:r>
        <w:rPr>
          <w:rFonts w:ascii="Times New Roman" w:hAnsi="Times New Roman" w:eastAsia="仿宋_GB2312"/>
          <w:sz w:val="32"/>
        </w:rPr>
        <mc:AlternateContent>
          <mc:Choice Requires="wps">
            <w:drawing>
              <wp:anchor distT="0" distB="0" distL="114300" distR="114300" simplePos="0" relativeHeight="251661312" behindDoc="0" locked="0" layoutInCell="1" allowOverlap="1">
                <wp:simplePos x="0" y="0"/>
                <wp:positionH relativeFrom="column">
                  <wp:posOffset>29210</wp:posOffset>
                </wp:positionH>
                <wp:positionV relativeFrom="paragraph">
                  <wp:posOffset>172085</wp:posOffset>
                </wp:positionV>
                <wp:extent cx="5550535" cy="635"/>
                <wp:effectExtent l="0" t="0" r="12065" b="18415"/>
                <wp:wrapNone/>
                <wp:docPr id="24" name="直接连接符 2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3pt;margin-top:13.55pt;height:0.05pt;width:437.05pt;z-index:251661312;mso-width-relative:page;mso-height-relative:page;" filled="f" stroked="t" coordsize="21600,21600" o:gfxdata="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4d&#10;GfXVAAAABwEAAA8AAAAAAAAAAQAgAAAAIgAAAGRycy9kb3ducmV2LnhtbFBLAQIUABQAAAAIAIdO&#10;4kB2Tj/s7QEAAN0DAAAOAAAAAAAAAAEAIAAAACQBAABkcnMvZTJvRG9jLnhtbFBLBQYAAAAABgAG&#10;AFkBAACDBQAAAAA=&#10;">
                <v:fill on="f" focussize="0,0"/>
                <v:stroke weight="1.25pt" color="#000000" joinstyle="round"/>
                <v:imagedata o:title=""/>
                <o:lock v:ext="edit" aspectratio="f"/>
              </v:line>
            </w:pict>
          </mc:Fallback>
        </mc:AlternateContent>
      </w:r>
    </w:p>
    <w:p w14:paraId="5D2FF756">
      <w:pPr>
        <w:keepNext w:val="0"/>
        <w:keepLines w:val="0"/>
        <w:pageBreakBefore w:val="0"/>
        <w:widowControl w:val="0"/>
        <w:kinsoku/>
        <w:wordWrap/>
        <w:overflowPunct/>
        <w:topLinePunct w:val="0"/>
        <w:autoSpaceDE/>
        <w:autoSpaceDN/>
        <w:bidi w:val="0"/>
        <w:spacing w:line="560" w:lineRule="exact"/>
        <w:jc w:val="center"/>
        <w:textAlignment w:val="auto"/>
      </w:pPr>
      <w:r>
        <w:rPr>
          <w:rFonts w:ascii="Times New Roman" w:hAnsi="Times New Roman" w:eastAsia="仿宋_GB2312" w:cs="仿宋"/>
          <w:bCs/>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19050" t="19050" r="9525" b="17780"/>
                <wp:wrapNone/>
                <wp:docPr id="27" name="直接连接符 27"/>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D+Thhd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本文书一式二份，一份送达，一份归档。</w:t>
      </w:r>
    </w:p>
    <w:sectPr>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ngal">
    <w:altName w:val="Segoe Print"/>
    <w:panose1 w:val="00000400000000000000"/>
    <w:charset w:val="00"/>
    <w:family w:val="roman"/>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EC795">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127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7572E210">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1u5d9AAAAACAQAADwAAAAAAAAABACAAAAAiAAAAZHJzL2Rvd25yZXYueG1sUEsBAhQAFAAA&#10;AAgAh07iQE1YEGL3AQAAAAQAAA4AAAAAAAAAAQAgAAAAHwEAAGRycy9lMm9Eb2MueG1sUEsFBgAA&#10;AAAGAAYAWQEAAIgFAAAAAA==&#10;">
              <v:fill on="f" focussize="0,0"/>
              <v:stroke on="f"/>
              <v:imagedata o:title=""/>
              <o:lock v:ext="edit" aspectratio="f"/>
              <v:textbox inset="0mm,0mm,0mm,0mm" style="mso-fit-shape-to-text:t;">
                <w:txbxContent>
                  <w:p w14:paraId="7572E210">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6">
    <w:p>
      <w:r>
        <w:separator/>
      </w:r>
    </w:p>
  </w:footnote>
  <w:footnote w:type="continuationSeparator" w:id="27">
    <w:p>
      <w:r>
        <w:continuationSeparator/>
      </w:r>
    </w:p>
  </w:footnote>
  <w:footnote w:id="0">
    <w:p w14:paraId="48D60773">
      <w:pPr>
        <w:pStyle w:val="7"/>
        <w:rPr>
          <w:rFonts w:hint="eastAsia" w:ascii="仿宋" w:hAnsi="仿宋" w:eastAsia="仿宋"/>
          <w:sz w:val="21"/>
          <w:szCs w:val="21"/>
        </w:rPr>
      </w:pPr>
      <w:r>
        <w:rPr>
          <w:rStyle w:val="16"/>
          <w:rFonts w:ascii="仿宋" w:hAnsi="仿宋" w:eastAsia="仿宋"/>
          <w:sz w:val="21"/>
          <w:szCs w:val="21"/>
        </w:rPr>
        <w:footnoteRef/>
      </w:r>
      <w:r>
        <w:rPr>
          <w:rFonts w:ascii="仿宋" w:hAnsi="仿宋" w:eastAsia="仿宋"/>
          <w:sz w:val="21"/>
          <w:szCs w:val="21"/>
        </w:rPr>
        <w:t xml:space="preserve"> </w:t>
      </w:r>
      <w:r>
        <w:rPr>
          <w:rFonts w:hint="eastAsia" w:ascii="仿宋" w:hAnsi="仿宋" w:eastAsia="仿宋"/>
          <w:sz w:val="21"/>
          <w:szCs w:val="21"/>
        </w:rPr>
        <w:t>上述4个比例均为吴福源在微信群聊“新祠厂”中发布的信息，最终由黄华鸣确认采用。</w:t>
      </w:r>
    </w:p>
  </w:footnote>
  <w:footnote w:id="1">
    <w:p w14:paraId="55E88FFB">
      <w:pPr>
        <w:pStyle w:val="7"/>
        <w:rPr>
          <w:sz w:val="21"/>
          <w:szCs w:val="21"/>
        </w:rPr>
      </w:pPr>
      <w:r>
        <w:rPr>
          <w:rStyle w:val="16"/>
          <w:rFonts w:ascii="仿宋" w:hAnsi="仿宋" w:eastAsia="仿宋"/>
          <w:sz w:val="21"/>
          <w:szCs w:val="21"/>
        </w:rPr>
        <w:footnoteRef/>
      </w:r>
      <w:r>
        <w:rPr>
          <w:rFonts w:ascii="仿宋" w:hAnsi="仿宋" w:eastAsia="仿宋"/>
          <w:sz w:val="21"/>
          <w:szCs w:val="21"/>
        </w:rPr>
        <w:t xml:space="preserve"> </w:t>
      </w:r>
      <w:r>
        <w:rPr>
          <w:rFonts w:hint="eastAsia" w:ascii="仿宋" w:hAnsi="仿宋" w:eastAsia="仿宋"/>
          <w:sz w:val="21"/>
          <w:szCs w:val="21"/>
        </w:rPr>
        <w:t>根据微信聊天记录中的手工对账单显示，其中4月份的平均配比为83:17，5月份的平均配比为67:33，6月份的平均配比为59:41。</w:t>
      </w:r>
    </w:p>
  </w:footnote>
  <w:footnote w:id="2">
    <w:p w14:paraId="55E87BC8">
      <w:pPr>
        <w:pStyle w:val="7"/>
        <w:rPr>
          <w:rFonts w:hint="eastAsia" w:ascii="仿宋" w:hAnsi="仿宋" w:eastAsia="仿宋"/>
          <w:sz w:val="21"/>
          <w:szCs w:val="21"/>
        </w:rPr>
      </w:pPr>
      <w:r>
        <w:rPr>
          <w:rStyle w:val="16"/>
          <w:rFonts w:ascii="仿宋" w:hAnsi="仿宋" w:eastAsia="仿宋"/>
          <w:sz w:val="21"/>
          <w:szCs w:val="21"/>
        </w:rPr>
        <w:footnoteRef/>
      </w:r>
      <w:r>
        <w:rPr>
          <w:rFonts w:ascii="仿宋" w:hAnsi="仿宋" w:eastAsia="仿宋"/>
          <w:sz w:val="21"/>
          <w:szCs w:val="21"/>
        </w:rPr>
        <w:t xml:space="preserve"> </w:t>
      </w:r>
      <w:r>
        <w:rPr>
          <w:rFonts w:hint="eastAsia" w:ascii="仿宋" w:hAnsi="仿宋" w:eastAsia="仿宋"/>
          <w:sz w:val="21"/>
          <w:szCs w:val="21"/>
        </w:rPr>
        <w:t>该电子证据提取笔录由负责录电子单的黄如彬签字确认，包含有2021年</w:t>
      </w:r>
      <w:bookmarkStart w:id="17" w:name="OLE_LINK12"/>
      <w:r>
        <w:rPr>
          <w:rFonts w:hint="eastAsia" w:ascii="仿宋" w:hAnsi="仿宋" w:eastAsia="仿宋"/>
          <w:sz w:val="21"/>
          <w:szCs w:val="21"/>
        </w:rPr>
        <w:t>4月1日至2021年11月22日期间</w:t>
      </w:r>
      <w:bookmarkEnd w:id="17"/>
      <w:r>
        <w:rPr>
          <w:rFonts w:hint="eastAsia" w:ascii="仿宋" w:hAnsi="仿宋" w:eastAsia="仿宋"/>
          <w:sz w:val="21"/>
          <w:szCs w:val="21"/>
        </w:rPr>
        <w:t>的所有装车记录，总装车量（销售量）</w:t>
      </w:r>
      <w:bookmarkStart w:id="18" w:name="OLE_LINK10"/>
      <w:r>
        <w:rPr>
          <w:rFonts w:hint="eastAsia" w:ascii="仿宋" w:hAnsi="仿宋" w:eastAsia="仿宋"/>
          <w:sz w:val="21"/>
          <w:szCs w:val="21"/>
        </w:rPr>
        <w:t>为8680.7吨</w:t>
      </w:r>
      <w:bookmarkEnd w:id="18"/>
      <w:r>
        <w:rPr>
          <w:rFonts w:hint="eastAsia" w:ascii="仿宋" w:hAnsi="仿宋" w:eastAsia="仿宋"/>
          <w:sz w:val="21"/>
          <w:szCs w:val="21"/>
        </w:rPr>
        <w:t>，其中标称富贵、建国的水泥数量为7681.2吨。</w:t>
      </w:r>
    </w:p>
  </w:footnote>
  <w:footnote w:id="3">
    <w:p w14:paraId="52E17B33">
      <w:pPr>
        <w:pStyle w:val="7"/>
      </w:pPr>
      <w:r>
        <w:rPr>
          <w:rStyle w:val="16"/>
        </w:rPr>
        <w:footnoteRef/>
      </w:r>
      <w:r>
        <w:rPr>
          <w:sz w:val="21"/>
          <w:szCs w:val="21"/>
        </w:rPr>
        <w:t xml:space="preserve"> </w:t>
      </w:r>
      <w:r>
        <w:rPr>
          <w:rFonts w:hint="eastAsia" w:ascii="仿宋" w:hAnsi="仿宋" w:eastAsia="仿宋"/>
          <w:sz w:val="21"/>
          <w:szCs w:val="21"/>
        </w:rPr>
        <w:t>2021年10月7日至2021年11月20日期间的原料进厂和水泥出仓记录。</w:t>
      </w:r>
    </w:p>
  </w:footnote>
  <w:footnote w:id="4">
    <w:p w14:paraId="2F4041AC">
      <w:pPr>
        <w:pStyle w:val="7"/>
        <w:rPr>
          <w:rFonts w:hint="eastAsia" w:ascii="仿宋" w:hAnsi="仿宋" w:eastAsia="仿宋"/>
          <w:sz w:val="21"/>
          <w:szCs w:val="21"/>
        </w:rPr>
      </w:pPr>
      <w:r>
        <w:rPr>
          <w:rStyle w:val="16"/>
          <w:rFonts w:ascii="仿宋" w:hAnsi="仿宋" w:eastAsia="仿宋"/>
          <w:sz w:val="21"/>
          <w:szCs w:val="21"/>
        </w:rPr>
        <w:footnoteRef/>
      </w:r>
      <w:r>
        <w:rPr>
          <w:rFonts w:ascii="仿宋" w:hAnsi="仿宋" w:eastAsia="仿宋"/>
          <w:sz w:val="21"/>
          <w:szCs w:val="21"/>
        </w:rPr>
        <w:t xml:space="preserve"> </w:t>
      </w:r>
      <w:r>
        <w:rPr>
          <w:rFonts w:hint="eastAsia" w:ascii="仿宋" w:hAnsi="仿宋" w:eastAsia="仿宋"/>
          <w:sz w:val="21"/>
          <w:szCs w:val="21"/>
        </w:rPr>
        <w:t>“经本人确认，上述情况属实，2021年4月1日至2021年11月23日期间我厂销售水泥的数量为8680.7吨”。</w:t>
      </w:r>
    </w:p>
  </w:footnote>
  <w:footnote w:id="5">
    <w:p w14:paraId="4F243DC6">
      <w:pPr>
        <w:pStyle w:val="7"/>
        <w:rPr>
          <w:sz w:val="21"/>
          <w:szCs w:val="21"/>
        </w:rPr>
      </w:pPr>
      <w:r>
        <w:rPr>
          <w:rStyle w:val="16"/>
          <w:rFonts w:ascii="仿宋" w:hAnsi="仿宋" w:eastAsia="仿宋"/>
          <w:sz w:val="21"/>
          <w:szCs w:val="21"/>
        </w:rPr>
        <w:footnoteRef/>
      </w:r>
      <w:r>
        <w:rPr>
          <w:rFonts w:ascii="仿宋" w:hAnsi="仿宋" w:eastAsia="仿宋"/>
          <w:sz w:val="21"/>
          <w:szCs w:val="21"/>
        </w:rPr>
        <w:t xml:space="preserve"> </w:t>
      </w:r>
      <w:r>
        <w:rPr>
          <w:rFonts w:hint="eastAsia" w:ascii="仿宋" w:hAnsi="仿宋" w:eastAsia="仿宋"/>
          <w:sz w:val="21"/>
          <w:szCs w:val="21"/>
        </w:rPr>
        <w:t>“今年4月至8月该厂生产水泥大约是每个月700吨至800吨，9月份和10月份产量较多，每个月大约1000多吨”。</w:t>
      </w:r>
    </w:p>
  </w:footnote>
  <w:footnote w:id="6">
    <w:p w14:paraId="3C62AA0C">
      <w:pPr>
        <w:pStyle w:val="7"/>
      </w:pPr>
      <w:r>
        <w:rPr>
          <w:rStyle w:val="16"/>
        </w:rPr>
        <w:footnoteRef/>
      </w:r>
      <w:r>
        <w:rPr>
          <w:rFonts w:hint="eastAsia" w:ascii="仿宋" w:hAnsi="仿宋" w:eastAsia="仿宋"/>
          <w:sz w:val="21"/>
          <w:szCs w:val="21"/>
        </w:rPr>
        <w:t xml:space="preserve"> 水泥包装袋采购数量161072个（50KG/个），对应的可包装水泥数量8053.6吨。</w:t>
      </w:r>
    </w:p>
  </w:footnote>
  <w:footnote w:id="7">
    <w:p w14:paraId="30227563">
      <w:pPr>
        <w:pStyle w:val="7"/>
      </w:pPr>
      <w:r>
        <w:rPr>
          <w:rStyle w:val="16"/>
        </w:rPr>
        <w:footnoteRef/>
      </w:r>
      <w:r>
        <w:t xml:space="preserve"> </w:t>
      </w:r>
      <w:r>
        <w:rPr>
          <w:rFonts w:hint="eastAsia" w:ascii="仿宋" w:hAnsi="仿宋" w:eastAsia="仿宋"/>
          <w:sz w:val="21"/>
          <w:szCs w:val="21"/>
        </w:rPr>
        <w:t>吴福源担任法定代表人。</w:t>
      </w:r>
    </w:p>
  </w:footnote>
  <w:footnote w:id="8">
    <w:p w14:paraId="34FE2770">
      <w:pPr>
        <w:pStyle w:val="7"/>
      </w:pPr>
      <w:r>
        <w:rPr>
          <w:rStyle w:val="16"/>
        </w:rPr>
        <w:footnoteRef/>
      </w:r>
      <w:r>
        <w:t xml:space="preserve"> </w:t>
      </w:r>
      <w:r>
        <w:rPr>
          <w:rFonts w:hint="eastAsia" w:ascii="仿宋" w:hAnsi="仿宋" w:eastAsia="仿宋"/>
          <w:sz w:val="21"/>
          <w:szCs w:val="21"/>
        </w:rPr>
        <w:t>开票日期为2021年8月24日至2021年11月13日期间。</w:t>
      </w:r>
    </w:p>
  </w:footnote>
  <w:footnote w:id="9">
    <w:p w14:paraId="31360DBB">
      <w:pPr>
        <w:pStyle w:val="7"/>
      </w:pPr>
      <w:r>
        <w:rPr>
          <w:rStyle w:val="16"/>
        </w:rPr>
        <w:footnoteRef/>
      </w:r>
      <w:r>
        <w:t xml:space="preserve"> </w:t>
      </w:r>
      <w:r>
        <w:rPr>
          <w:rFonts w:hint="eastAsia" w:ascii="仿宋" w:hAnsi="仿宋" w:eastAsia="仿宋"/>
          <w:sz w:val="21"/>
          <w:szCs w:val="21"/>
        </w:rPr>
        <w:t>计算方法：2645.5吨＋2274.74吨。</w:t>
      </w:r>
    </w:p>
  </w:footnote>
  <w:footnote w:id="10">
    <w:p w14:paraId="01B994E1">
      <w:pPr>
        <w:pStyle w:val="7"/>
        <w:rPr>
          <w:rFonts w:hint="eastAsia" w:ascii="仿宋" w:hAnsi="仿宋" w:eastAsia="仿宋"/>
          <w:sz w:val="21"/>
          <w:szCs w:val="21"/>
        </w:rPr>
      </w:pPr>
      <w:r>
        <w:rPr>
          <w:rStyle w:val="16"/>
          <w:rFonts w:ascii="仿宋" w:hAnsi="仿宋" w:eastAsia="仿宋"/>
          <w:sz w:val="21"/>
          <w:szCs w:val="21"/>
        </w:rPr>
        <w:footnoteRef/>
      </w:r>
      <w:r>
        <w:rPr>
          <w:rFonts w:ascii="仿宋" w:hAnsi="仿宋" w:eastAsia="仿宋"/>
          <w:sz w:val="21"/>
          <w:szCs w:val="21"/>
        </w:rPr>
        <w:t xml:space="preserve"> </w:t>
      </w:r>
      <w:r>
        <w:rPr>
          <w:rFonts w:hint="eastAsia" w:ascii="仿宋" w:hAnsi="仿宋" w:eastAsia="仿宋"/>
          <w:sz w:val="21"/>
          <w:szCs w:val="21"/>
        </w:rPr>
        <w:t>计算方法：</w:t>
      </w:r>
      <w:r>
        <w:rPr>
          <w:rFonts w:ascii="仿宋" w:hAnsi="仿宋" w:eastAsia="仿宋"/>
          <w:sz w:val="21"/>
          <w:szCs w:val="21"/>
        </w:rPr>
        <w:t>2645.5</w:t>
      </w:r>
      <w:r>
        <w:rPr>
          <w:rFonts w:hint="eastAsia" w:ascii="仿宋" w:hAnsi="仿宋" w:eastAsia="仿宋"/>
          <w:sz w:val="21"/>
          <w:szCs w:val="21"/>
        </w:rPr>
        <w:t>吨﹡</w:t>
      </w:r>
      <w:r>
        <w:rPr>
          <w:rFonts w:ascii="仿宋" w:hAnsi="仿宋" w:eastAsia="仿宋"/>
          <w:sz w:val="21"/>
          <w:szCs w:val="21"/>
        </w:rPr>
        <w:t>307.82</w:t>
      </w:r>
      <w:r>
        <w:rPr>
          <w:rFonts w:hint="eastAsia" w:ascii="仿宋" w:hAnsi="仿宋" w:eastAsia="仿宋"/>
          <w:sz w:val="21"/>
          <w:szCs w:val="21"/>
        </w:rPr>
        <w:t>元/吨。</w:t>
      </w:r>
    </w:p>
  </w:footnote>
  <w:footnote w:id="11">
    <w:p w14:paraId="47913C54">
      <w:pPr>
        <w:pStyle w:val="7"/>
      </w:pPr>
      <w:r>
        <w:rPr>
          <w:rStyle w:val="16"/>
        </w:rPr>
        <w:footnoteRef/>
      </w:r>
      <w:r>
        <w:t xml:space="preserve"> </w:t>
      </w:r>
      <w:r>
        <w:rPr>
          <w:rFonts w:hint="eastAsia" w:ascii="仿宋" w:hAnsi="仿宋" w:eastAsia="仿宋"/>
          <w:sz w:val="21"/>
          <w:szCs w:val="21"/>
        </w:rPr>
        <w:t>计算方法：</w:t>
      </w:r>
      <w:r>
        <w:rPr>
          <w:rFonts w:ascii="仿宋" w:hAnsi="仿宋" w:eastAsia="仿宋"/>
          <w:sz w:val="21"/>
          <w:szCs w:val="21"/>
        </w:rPr>
        <w:t>814337.81</w:t>
      </w:r>
      <w:r>
        <w:rPr>
          <w:rFonts w:hint="eastAsia" w:ascii="仿宋" w:hAnsi="仿宋" w:eastAsia="仿宋"/>
          <w:sz w:val="21"/>
          <w:szCs w:val="21"/>
        </w:rPr>
        <w:t>元＋</w:t>
      </w:r>
      <w:r>
        <w:rPr>
          <w:rFonts w:ascii="仿宋" w:hAnsi="仿宋" w:eastAsia="仿宋"/>
          <w:sz w:val="21"/>
          <w:szCs w:val="21"/>
        </w:rPr>
        <w:t>782445.52</w:t>
      </w:r>
      <w:r>
        <w:rPr>
          <w:rFonts w:hint="eastAsia" w:ascii="仿宋" w:hAnsi="仿宋" w:eastAsia="仿宋"/>
          <w:sz w:val="21"/>
          <w:szCs w:val="21"/>
        </w:rPr>
        <w:t>元。</w:t>
      </w:r>
    </w:p>
  </w:footnote>
  <w:footnote w:id="12">
    <w:p w14:paraId="29C42C06">
      <w:pPr>
        <w:pStyle w:val="7"/>
      </w:pPr>
      <w:r>
        <w:rPr>
          <w:rStyle w:val="16"/>
        </w:rPr>
        <w:footnoteRef/>
      </w:r>
      <w:r>
        <w:t xml:space="preserve"> </w:t>
      </w:r>
      <w:r>
        <w:rPr>
          <w:rFonts w:hint="eastAsia" w:ascii="仿宋" w:hAnsi="仿宋" w:eastAsia="仿宋"/>
          <w:sz w:val="21"/>
          <w:szCs w:val="21"/>
        </w:rPr>
        <w:t>计算方法：</w:t>
      </w:r>
      <w:r>
        <w:rPr>
          <w:rFonts w:ascii="仿宋" w:hAnsi="仿宋" w:eastAsia="仿宋"/>
          <w:sz w:val="21"/>
          <w:szCs w:val="21"/>
        </w:rPr>
        <w:t>4920.24</w:t>
      </w:r>
      <w:r>
        <w:rPr>
          <w:rFonts w:hint="eastAsia" w:ascii="仿宋" w:hAnsi="仿宋" w:eastAsia="仿宋"/>
          <w:sz w:val="21"/>
          <w:szCs w:val="21"/>
        </w:rPr>
        <w:t>吨﹡15元/吨。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53208E"/>
    <w:multiLevelType w:val="multilevel"/>
    <w:tmpl w:val="0053208E"/>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footnotePr>
    <w:footnote w:id="26"/>
    <w:footnote w:id="27"/>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B94"/>
    <w:rsid w:val="00051C54"/>
    <w:rsid w:val="000658D4"/>
    <w:rsid w:val="00077A94"/>
    <w:rsid w:val="00091F1D"/>
    <w:rsid w:val="000C4794"/>
    <w:rsid w:val="00122B12"/>
    <w:rsid w:val="001554EF"/>
    <w:rsid w:val="00187AD7"/>
    <w:rsid w:val="001B0DF1"/>
    <w:rsid w:val="001C2AF0"/>
    <w:rsid w:val="002569B8"/>
    <w:rsid w:val="00270397"/>
    <w:rsid w:val="002703C3"/>
    <w:rsid w:val="002829C7"/>
    <w:rsid w:val="002D2D74"/>
    <w:rsid w:val="003826BA"/>
    <w:rsid w:val="003B1951"/>
    <w:rsid w:val="00414850"/>
    <w:rsid w:val="00431BBA"/>
    <w:rsid w:val="004765E5"/>
    <w:rsid w:val="00493CCE"/>
    <w:rsid w:val="004B73F9"/>
    <w:rsid w:val="004C6C63"/>
    <w:rsid w:val="004E4322"/>
    <w:rsid w:val="004E4CBA"/>
    <w:rsid w:val="0050739B"/>
    <w:rsid w:val="005233F7"/>
    <w:rsid w:val="005501E0"/>
    <w:rsid w:val="00556B94"/>
    <w:rsid w:val="00563C58"/>
    <w:rsid w:val="00570AE2"/>
    <w:rsid w:val="0058292C"/>
    <w:rsid w:val="00596715"/>
    <w:rsid w:val="005B06E1"/>
    <w:rsid w:val="005B51CF"/>
    <w:rsid w:val="00616F81"/>
    <w:rsid w:val="006343D0"/>
    <w:rsid w:val="0066589F"/>
    <w:rsid w:val="006662DB"/>
    <w:rsid w:val="00676B5C"/>
    <w:rsid w:val="00755757"/>
    <w:rsid w:val="007A5F70"/>
    <w:rsid w:val="007B1B4F"/>
    <w:rsid w:val="0080545F"/>
    <w:rsid w:val="008520E9"/>
    <w:rsid w:val="008A7304"/>
    <w:rsid w:val="008D3561"/>
    <w:rsid w:val="008F04EE"/>
    <w:rsid w:val="00900894"/>
    <w:rsid w:val="0090683A"/>
    <w:rsid w:val="00912CB9"/>
    <w:rsid w:val="009164E4"/>
    <w:rsid w:val="0092240E"/>
    <w:rsid w:val="009376B4"/>
    <w:rsid w:val="009619B9"/>
    <w:rsid w:val="009D14AA"/>
    <w:rsid w:val="00A37283"/>
    <w:rsid w:val="00A41CD1"/>
    <w:rsid w:val="00AA03A3"/>
    <w:rsid w:val="00B34035"/>
    <w:rsid w:val="00BA54AE"/>
    <w:rsid w:val="00C02194"/>
    <w:rsid w:val="00C041CE"/>
    <w:rsid w:val="00C61948"/>
    <w:rsid w:val="00CA15C4"/>
    <w:rsid w:val="00CC6B3B"/>
    <w:rsid w:val="00D10B23"/>
    <w:rsid w:val="00DB07AD"/>
    <w:rsid w:val="00DD4A2F"/>
    <w:rsid w:val="00DF0780"/>
    <w:rsid w:val="00E8054D"/>
    <w:rsid w:val="00EB0579"/>
    <w:rsid w:val="00EF21E6"/>
    <w:rsid w:val="00F0027C"/>
    <w:rsid w:val="00FD1872"/>
    <w:rsid w:val="050510CA"/>
    <w:rsid w:val="05731184"/>
    <w:rsid w:val="08490FBC"/>
    <w:rsid w:val="22EB513D"/>
    <w:rsid w:val="2BB020D3"/>
    <w:rsid w:val="2ED83617"/>
    <w:rsid w:val="31AC016F"/>
    <w:rsid w:val="4B871B3A"/>
    <w:rsid w:val="643E2051"/>
    <w:rsid w:val="662F0B2E"/>
    <w:rsid w:val="67FB4EE7"/>
    <w:rsid w:val="6CB55874"/>
    <w:rsid w:val="6D0307C4"/>
    <w:rsid w:val="727E62E6"/>
    <w:rsid w:val="77A72975"/>
    <w:rsid w:val="78F460CA"/>
    <w:rsid w:val="7CA84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7"/>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9"/>
    <w:semiHidden/>
    <w:unhideWhenUsed/>
    <w:uiPriority w:val="99"/>
    <w:pPr>
      <w:jc w:val="left"/>
    </w:pPr>
  </w:style>
  <w:style w:type="paragraph" w:styleId="4">
    <w:name w:val="Date"/>
    <w:basedOn w:val="1"/>
    <w:next w:val="1"/>
    <w:link w:val="27"/>
    <w:semiHidden/>
    <w:unhideWhenUsed/>
    <w:uiPriority w:val="99"/>
    <w:pPr>
      <w:ind w:left="100" w:leftChars="250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32"/>
    <w:uiPriority w:val="0"/>
    <w:pPr>
      <w:adjustRightInd w:val="0"/>
      <w:snapToGrid w:val="0"/>
      <w:spacing w:line="360" w:lineRule="atLeast"/>
      <w:jc w:val="left"/>
      <w:textAlignment w:val="baseline"/>
    </w:pPr>
    <w:rPr>
      <w:rFonts w:ascii="Times New Roman" w:hAnsi="Times New Roman"/>
      <w:kern w:val="0"/>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9">
    <w:name w:val="annotation subject"/>
    <w:basedOn w:val="3"/>
    <w:next w:val="3"/>
    <w:link w:val="30"/>
    <w:uiPriority w:val="0"/>
    <w:pPr>
      <w:adjustRightInd w:val="0"/>
      <w:spacing w:line="360" w:lineRule="atLeast"/>
      <w:textAlignment w:val="baseline"/>
    </w:pPr>
    <w:rPr>
      <w:rFonts w:ascii="Times New Roman" w:hAnsi="Times New Roman"/>
      <w:b/>
      <w:bCs/>
      <w:kern w:val="0"/>
      <w:sz w:val="24"/>
      <w:szCs w:val="20"/>
    </w:rPr>
  </w:style>
  <w:style w:type="character" w:styleId="12">
    <w:name w:val="Strong"/>
    <w:basedOn w:val="11"/>
    <w:qFormat/>
    <w:uiPriority w:val="22"/>
  </w:style>
  <w:style w:type="character" w:styleId="13">
    <w:name w:val="FollowedHyperlink"/>
    <w:basedOn w:val="11"/>
    <w:semiHidden/>
    <w:unhideWhenUsed/>
    <w:qFormat/>
    <w:uiPriority w:val="99"/>
    <w:rPr>
      <w:color w:val="333333"/>
      <w:u w:val="none"/>
    </w:rPr>
  </w:style>
  <w:style w:type="character" w:styleId="14">
    <w:name w:val="Emphasis"/>
    <w:basedOn w:val="11"/>
    <w:qFormat/>
    <w:uiPriority w:val="20"/>
  </w:style>
  <w:style w:type="character" w:styleId="15">
    <w:name w:val="Hyperlink"/>
    <w:basedOn w:val="11"/>
    <w:semiHidden/>
    <w:unhideWhenUsed/>
    <w:qFormat/>
    <w:uiPriority w:val="99"/>
    <w:rPr>
      <w:color w:val="333333"/>
      <w:u w:val="none"/>
    </w:rPr>
  </w:style>
  <w:style w:type="character" w:styleId="16">
    <w:name w:val="footnote reference"/>
    <w:uiPriority w:val="0"/>
    <w:rPr>
      <w:vertAlign w:val="superscript"/>
    </w:rPr>
  </w:style>
  <w:style w:type="character" w:customStyle="1" w:styleId="17">
    <w:name w:val="标题 1 字符"/>
    <w:basedOn w:val="11"/>
    <w:link w:val="2"/>
    <w:qFormat/>
    <w:uiPriority w:val="0"/>
    <w:rPr>
      <w:rFonts w:ascii="Times New Roman" w:hAnsi="Times New Roman" w:eastAsia="宋体" w:cs="Mangal"/>
      <w:color w:val="00000A"/>
      <w:sz w:val="24"/>
      <w:szCs w:val="24"/>
      <w:lang w:val="zh-CN" w:bidi="hi-IN"/>
    </w:rPr>
  </w:style>
  <w:style w:type="character" w:customStyle="1" w:styleId="18">
    <w:name w:val="页眉 字符"/>
    <w:basedOn w:val="11"/>
    <w:link w:val="6"/>
    <w:qFormat/>
    <w:uiPriority w:val="99"/>
    <w:rPr>
      <w:rFonts w:ascii="Calibri" w:hAnsi="Calibri" w:eastAsia="宋体" w:cs="Times New Roman"/>
      <w:sz w:val="18"/>
      <w:szCs w:val="18"/>
    </w:rPr>
  </w:style>
  <w:style w:type="character" w:customStyle="1" w:styleId="19">
    <w:name w:val="页脚 字符"/>
    <w:basedOn w:val="11"/>
    <w:link w:val="5"/>
    <w:qFormat/>
    <w:uiPriority w:val="99"/>
    <w:rPr>
      <w:rFonts w:ascii="Calibri" w:hAnsi="Calibri" w:eastAsia="宋体" w:cs="Times New Roman"/>
      <w:sz w:val="18"/>
      <w:szCs w:val="18"/>
    </w:rPr>
  </w:style>
  <w:style w:type="character" w:customStyle="1" w:styleId="20">
    <w:name w:val="red"/>
    <w:basedOn w:val="11"/>
    <w:qFormat/>
    <w:uiPriority w:val="0"/>
    <w:rPr>
      <w:color w:val="FF0000"/>
    </w:rPr>
  </w:style>
  <w:style w:type="character" w:customStyle="1" w:styleId="21">
    <w:name w:val="blf"/>
    <w:basedOn w:val="11"/>
    <w:qFormat/>
    <w:uiPriority w:val="0"/>
  </w:style>
  <w:style w:type="character" w:customStyle="1" w:styleId="22">
    <w:name w:val="brt"/>
    <w:basedOn w:val="11"/>
    <w:qFormat/>
    <w:uiPriority w:val="0"/>
  </w:style>
  <w:style w:type="character" w:customStyle="1" w:styleId="23">
    <w:name w:val="show"/>
    <w:basedOn w:val="11"/>
    <w:qFormat/>
    <w:uiPriority w:val="0"/>
  </w:style>
  <w:style w:type="character" w:customStyle="1" w:styleId="24">
    <w:name w:val="show1"/>
    <w:basedOn w:val="11"/>
    <w:qFormat/>
    <w:uiPriority w:val="0"/>
  </w:style>
  <w:style w:type="character" w:customStyle="1" w:styleId="25">
    <w:name w:val="num"/>
    <w:basedOn w:val="11"/>
    <w:qFormat/>
    <w:uiPriority w:val="0"/>
    <w:rPr>
      <w:rFonts w:ascii="Arial" w:hAnsi="Arial" w:cs="Arial"/>
      <w:color w:val="FFFFFF"/>
      <w:sz w:val="16"/>
      <w:szCs w:val="16"/>
    </w:rPr>
  </w:style>
  <w:style w:type="character" w:customStyle="1" w:styleId="26">
    <w:name w:val="default2"/>
    <w:basedOn w:val="11"/>
    <w:qFormat/>
    <w:uiPriority w:val="0"/>
  </w:style>
  <w:style w:type="character" w:customStyle="1" w:styleId="27">
    <w:name w:val="日期 字符"/>
    <w:basedOn w:val="11"/>
    <w:link w:val="4"/>
    <w:semiHidden/>
    <w:uiPriority w:val="99"/>
    <w:rPr>
      <w:rFonts w:ascii="Calibri" w:hAnsi="Calibri"/>
      <w:kern w:val="2"/>
      <w:sz w:val="21"/>
      <w:szCs w:val="24"/>
    </w:rPr>
  </w:style>
  <w:style w:type="paragraph" w:customStyle="1" w:styleId="28">
    <w:name w:val="默认段落字体 Para Char Char Char1 Char"/>
    <w:basedOn w:val="1"/>
    <w:uiPriority w:val="0"/>
    <w:pPr>
      <w:adjustRightInd w:val="0"/>
      <w:spacing w:line="360" w:lineRule="atLeast"/>
      <w:jc w:val="left"/>
    </w:pPr>
    <w:rPr>
      <w:rFonts w:ascii="Tahoma" w:hAnsi="Tahoma" w:cs="Tahoma"/>
      <w:kern w:val="0"/>
      <w:sz w:val="24"/>
      <w:szCs w:val="20"/>
    </w:rPr>
  </w:style>
  <w:style w:type="character" w:customStyle="1" w:styleId="29">
    <w:name w:val="批注文字 字符"/>
    <w:basedOn w:val="11"/>
    <w:link w:val="3"/>
    <w:semiHidden/>
    <w:uiPriority w:val="99"/>
    <w:rPr>
      <w:rFonts w:ascii="Calibri" w:hAnsi="Calibri"/>
      <w:kern w:val="2"/>
      <w:sz w:val="21"/>
      <w:szCs w:val="24"/>
    </w:rPr>
  </w:style>
  <w:style w:type="character" w:customStyle="1" w:styleId="30">
    <w:name w:val="批注主题 字符"/>
    <w:basedOn w:val="29"/>
    <w:link w:val="9"/>
    <w:uiPriority w:val="0"/>
    <w:rPr>
      <w:rFonts w:ascii="Calibri" w:hAnsi="Calibri"/>
      <w:b/>
      <w:bCs/>
      <w:kern w:val="2"/>
      <w:sz w:val="24"/>
      <w:szCs w:val="24"/>
    </w:rPr>
  </w:style>
  <w:style w:type="paragraph" w:customStyle="1" w:styleId="31">
    <w:name w:val="_Style 2"/>
    <w:basedOn w:val="1"/>
    <w:uiPriority w:val="0"/>
    <w:pPr>
      <w:adjustRightInd w:val="0"/>
      <w:spacing w:line="360" w:lineRule="atLeast"/>
      <w:jc w:val="left"/>
    </w:pPr>
    <w:rPr>
      <w:rFonts w:ascii="Tahoma" w:hAnsi="Tahoma" w:cs="Tahoma"/>
      <w:kern w:val="0"/>
      <w:sz w:val="24"/>
      <w:szCs w:val="20"/>
    </w:rPr>
  </w:style>
  <w:style w:type="character" w:customStyle="1" w:styleId="32">
    <w:name w:val="脚注文本 字符"/>
    <w:basedOn w:val="11"/>
    <w:link w:val="7"/>
    <w:uiPriority w:val="0"/>
    <w:rPr>
      <w:sz w:val="18"/>
      <w:szCs w:val="18"/>
    </w:rPr>
  </w:style>
  <w:style w:type="character" w:customStyle="1" w:styleId="33">
    <w:name w:val="Unresolved Mention"/>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5394</Words>
  <Characters>5828</Characters>
  <Lines>42</Lines>
  <Paragraphs>11</Paragraphs>
  <TotalTime>1</TotalTime>
  <ScaleCrop>false</ScaleCrop>
  <LinksUpToDate>false</LinksUpToDate>
  <CharactersWithSpaces>5902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2025-06-27T01:19:00Z</dcterms:created>
  <dc:creator>刘迎春</dc:creator>
  <cp:lastModifiedBy>春春@？</cp:lastModifiedBy>
  <cp:lastPrinted>2025-06-27T01:18:00Z</cp:lastPrinted>
  <dcterms:modified xsi:type="dcterms:W3CDTF">2025-07-04T07:27:11Z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eyJoZGlkIjoiNDAyNGUyNDgxNWI5MTMxMjFkMDkzOTQwOTljNzI0YzUiLCJ1c2VySWQiOiIyMTI4NzQ5NTMifQ==</vt:lpwstr>
  </property>
  <property fmtid="{D5CDD505-2E9C-101B-9397-08002B2CF9AE}" pid="4" name="ICV">
    <vt:lpwstr>285B396AB1B04FF598960B7A65642D87_12</vt:lpwstr>
  </property>
</Properties>
</file>