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6C89D">
      <w:pPr>
        <w:keepNext w:val="0"/>
        <w:keepLines w:val="0"/>
        <w:pageBreakBefore w:val="0"/>
        <w:widowControl/>
        <w:kinsoku/>
        <w:wordWrap/>
        <w:overflowPunct/>
        <w:topLinePunct w:val="0"/>
        <w:autoSpaceDE/>
        <w:autoSpaceDN/>
        <w:bidi w:val="0"/>
        <w:adjustRightInd/>
        <w:snapToGrid/>
        <w:spacing w:line="560" w:lineRule="exact"/>
        <w:ind w:left="420" w:firstLine="640" w:firstLineChars="200"/>
        <w:jc w:val="left"/>
        <w:textAlignment w:val="baseline"/>
        <w:rPr>
          <w:rFonts w:hint="eastAsia" w:ascii="仿宋_GB2312" w:hAnsi="仿宋_GB2312" w:eastAsia="仿宋_GB2312" w:cs="仿宋_GB2312"/>
          <w:color w:val="auto"/>
          <w:sz w:val="32"/>
          <w:szCs w:val="32"/>
          <w:highlight w:val="none"/>
        </w:rPr>
      </w:pPr>
    </w:p>
    <w:p w14:paraId="253DCC01">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小标宋简体" w:hAnsi="方正小标宋简体" w:eastAsia="方正小标宋简体" w:cs="方正小标宋简体"/>
          <w:b w:val="0"/>
          <w:bCs/>
          <w:color w:val="auto"/>
          <w:sz w:val="44"/>
          <w:szCs w:val="44"/>
          <w:highlight w:val="none"/>
          <w:lang w:eastAsia="zh-CN"/>
        </w:rPr>
      </w:pPr>
      <w:r>
        <w:rPr>
          <w:rFonts w:hint="eastAsia" w:ascii="方正小标宋简体" w:hAnsi="方正小标宋简体" w:eastAsia="方正小标宋简体" w:cs="方正小标宋简体"/>
          <w:b w:val="0"/>
          <w:bCs/>
          <w:color w:val="auto"/>
          <w:sz w:val="44"/>
          <w:szCs w:val="44"/>
          <w:highlight w:val="none"/>
          <w:lang w:eastAsia="zh-CN"/>
        </w:rPr>
        <w:t>新罗区</w:t>
      </w:r>
      <w:r>
        <w:rPr>
          <w:rFonts w:hint="eastAsia" w:ascii="方正小标宋简体" w:hAnsi="方正小标宋简体" w:eastAsia="方正小标宋简体" w:cs="方正小标宋简体"/>
          <w:b w:val="0"/>
          <w:bCs/>
          <w:color w:val="auto"/>
          <w:sz w:val="44"/>
          <w:szCs w:val="44"/>
          <w:highlight w:val="none"/>
        </w:rPr>
        <w:t>促进高质量充分就业</w:t>
      </w:r>
      <w:r>
        <w:rPr>
          <w:rFonts w:hint="eastAsia" w:ascii="方正小标宋简体" w:hAnsi="方正小标宋简体" w:eastAsia="方正小标宋简体" w:cs="方正小标宋简体"/>
          <w:b w:val="0"/>
          <w:bCs/>
          <w:color w:val="auto"/>
          <w:sz w:val="44"/>
          <w:szCs w:val="44"/>
          <w:highlight w:val="none"/>
          <w:lang w:eastAsia="zh-CN"/>
        </w:rPr>
        <w:t>实施方案</w:t>
      </w:r>
    </w:p>
    <w:p w14:paraId="2F806452">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 征求意见稿)</w:t>
      </w:r>
    </w:p>
    <w:p w14:paraId="76D7C04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仿宋_GB2312" w:hAnsi="仿宋_GB2312" w:eastAsia="仿宋_GB2312" w:cs="仿宋_GB2312"/>
          <w:color w:val="auto"/>
          <w:sz w:val="32"/>
          <w:szCs w:val="32"/>
          <w:highlight w:val="none"/>
        </w:rPr>
      </w:pPr>
    </w:p>
    <w:p w14:paraId="4F10250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为全面贯彻党的二十大和二十届历次全会精神，深入贯彻落实习近平总书记在福建考察时的重要讲话精神，</w:t>
      </w:r>
      <w:r>
        <w:rPr>
          <w:rFonts w:hint="eastAsia" w:ascii="仿宋_GB2312" w:hAnsi="仿宋_GB2312" w:eastAsia="仿宋_GB2312" w:cs="仿宋_GB2312"/>
          <w:color w:val="auto"/>
          <w:sz w:val="32"/>
          <w:szCs w:val="32"/>
          <w:highlight w:val="none"/>
          <w:lang w:eastAsia="zh-CN"/>
        </w:rPr>
        <w:t>落实好《福建省高质量充分就业促进条例》</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维护社会和谐稳定，推进共同富裕</w:t>
      </w:r>
      <w:r>
        <w:rPr>
          <w:rFonts w:hint="eastAsia" w:ascii="仿宋_GB2312" w:hAnsi="仿宋_GB2312" w:eastAsia="仿宋_GB2312" w:cs="仿宋_GB2312"/>
          <w:color w:val="auto"/>
          <w:sz w:val="32"/>
          <w:szCs w:val="32"/>
          <w:highlight w:val="none"/>
        </w:rPr>
        <w:t>。根据《龙岩市促进高质量充分就业的若干</w:t>
      </w:r>
      <w:bookmarkStart w:id="0" w:name="_GoBack"/>
      <w:bookmarkEnd w:id="0"/>
      <w:r>
        <w:rPr>
          <w:rFonts w:hint="eastAsia" w:ascii="仿宋_GB2312" w:hAnsi="仿宋_GB2312" w:eastAsia="仿宋_GB2312" w:cs="仿宋_GB2312"/>
          <w:color w:val="auto"/>
          <w:sz w:val="32"/>
          <w:szCs w:val="32"/>
          <w:highlight w:val="none"/>
        </w:rPr>
        <w:t>措施》，结合我区实际，现制定</w:t>
      </w:r>
      <w:r>
        <w:rPr>
          <w:rFonts w:hint="eastAsia" w:ascii="仿宋_GB2312" w:hAnsi="仿宋_GB2312" w:eastAsia="仿宋_GB2312" w:cs="仿宋_GB2312"/>
          <w:color w:val="auto"/>
          <w:sz w:val="32"/>
          <w:szCs w:val="32"/>
          <w:highlight w:val="none"/>
          <w:lang w:eastAsia="zh-CN"/>
        </w:rPr>
        <w:t>《新罗区促进高质量充分就业的实施方案》</w:t>
      </w:r>
      <w:r>
        <w:rPr>
          <w:rFonts w:hint="eastAsia" w:ascii="仿宋_GB2312" w:hAnsi="仿宋_GB2312" w:eastAsia="仿宋_GB2312" w:cs="仿宋_GB2312"/>
          <w:color w:val="auto"/>
          <w:sz w:val="32"/>
          <w:szCs w:val="32"/>
          <w:highlight w:val="none"/>
        </w:rPr>
        <w:t>：</w:t>
      </w:r>
    </w:p>
    <w:p w14:paraId="278892B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一、指导思想</w:t>
      </w:r>
    </w:p>
    <w:p w14:paraId="3A7BFEE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坚持在中国共产党的领导下开展促进高质量充分就业工作，实施就业优先战略，坚持劳动者自主就业、市场调节就业、政府促进就业和鼓励创业的方针，健全就业公共服务体系，促进就业质的有效提升和量的合理增长。</w:t>
      </w:r>
    </w:p>
    <w:p w14:paraId="53AA4E1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、总体目标</w:t>
      </w:r>
    </w:p>
    <w:p w14:paraId="321B3C5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就业公共服务体系更加完善，中等收入群体规模进一步提高，社会保险覆盖面不断扩大，劳动者就业权益有效维护，广大劳动者获得感幸福感安全感不断增强。到2030年，全区累计城镇新增就业3万人以上，累计新增技能人才总量达到5000人以上，全区就业形势保持总体稳定。</w:t>
      </w:r>
    </w:p>
    <w:p w14:paraId="779147C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、重点任务</w:t>
      </w:r>
    </w:p>
    <w:p w14:paraId="50FFC44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b/>
          <w:bCs/>
          <w:color w:val="auto"/>
          <w:sz w:val="32"/>
          <w:szCs w:val="32"/>
          <w:highlight w:val="none"/>
        </w:rPr>
        <w:t>（一）构建就业优先协同体系</w:t>
      </w:r>
    </w:p>
    <w:p w14:paraId="5ED9EBE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1.实施就业优先战略。</w:t>
      </w:r>
      <w:r>
        <w:rPr>
          <w:rFonts w:hint="eastAsia" w:ascii="仿宋_GB2312" w:hAnsi="仿宋_GB2312" w:eastAsia="仿宋_GB2312" w:cs="仿宋_GB2312"/>
          <w:color w:val="auto"/>
          <w:sz w:val="32"/>
          <w:szCs w:val="32"/>
          <w:highlight w:val="none"/>
          <w:lang w:eastAsia="zh-CN"/>
        </w:rPr>
        <w:t>构建就业友好型发展方式，坚持依靠发展促进就业,将高质量充分就业作为经济社会发展优先目标纳入国民经济和社会发展规划，强化产业、投资、财税、外贸、金融、教育、社会保障等对就业的支持，实现与就业政策协同联动，促进更加充分、更高质量就业。建立健全部门联合评估监测工作机制，推动就业优先政策全面嵌入规划编制、招商引资、重大政策、重大项目、对口合作等重点工作。工程项目行业主管部门需提前开展用工需求精准预测，及时满足企业用工需求。各镇（街）要根据就业状况和就业工作目标，在财政预算中安排就业专项资金用于促进就业工作，推动更多资金资源“投资于人”。</w:t>
      </w:r>
      <w:r>
        <w:rPr>
          <w:rFonts w:hint="eastAsia" w:ascii="仿宋_GB2312" w:hAnsi="仿宋_GB2312" w:eastAsia="仿宋_GB2312" w:cs="仿宋_GB2312"/>
          <w:b/>
          <w:bCs/>
          <w:color w:val="auto"/>
          <w:sz w:val="32"/>
          <w:szCs w:val="32"/>
          <w:highlight w:val="none"/>
          <w:lang w:eastAsia="zh-CN"/>
        </w:rPr>
        <w:t>（牵头单位:区人社局，责任单位:</w:t>
      </w:r>
      <w:r>
        <w:rPr>
          <w:rFonts w:hint="eastAsia" w:ascii="仿宋_GB2312" w:hAnsi="仿宋_GB2312" w:eastAsia="仿宋_GB2312" w:cs="仿宋_GB2312"/>
          <w:b/>
          <w:bCs/>
          <w:color w:val="auto"/>
          <w:sz w:val="32"/>
          <w:szCs w:val="32"/>
          <w:highlight w:val="none"/>
          <w:u w:val="none"/>
          <w:lang w:eastAsia="zh-CN"/>
        </w:rPr>
        <w:t>区发改局、</w:t>
      </w:r>
      <w:r>
        <w:rPr>
          <w:rFonts w:hint="eastAsia" w:ascii="仿宋_GB2312" w:hAnsi="仿宋_GB2312" w:eastAsia="仿宋_GB2312" w:cs="仿宋_GB2312"/>
          <w:b/>
          <w:bCs/>
          <w:color w:val="auto"/>
          <w:sz w:val="32"/>
          <w:szCs w:val="32"/>
          <w:highlight w:val="none"/>
          <w:lang w:eastAsia="zh-CN"/>
        </w:rPr>
        <w:t>科技局、工信局、商务局、财政局、各行业主管部门，各镇(街)人民政府、龙州经济发展中心、龙雁经济发展中心。以下任务均涉及各镇(街)人民政府、龙州经济发展中心、龙雁经济发展中心，不再单独列出。）</w:t>
      </w:r>
    </w:p>
    <w:p w14:paraId="324D717F">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2.提高</w:t>
      </w:r>
      <w:r>
        <w:rPr>
          <w:rFonts w:hint="eastAsia" w:ascii="仿宋_GB2312" w:hAnsi="仿宋_GB2312" w:eastAsia="仿宋_GB2312" w:cs="仿宋_GB2312"/>
          <w:b/>
          <w:bCs/>
          <w:color w:val="auto"/>
          <w:sz w:val="32"/>
          <w:szCs w:val="32"/>
          <w:highlight w:val="none"/>
          <w:lang w:eastAsia="zh-CN"/>
        </w:rPr>
        <w:t>工业</w:t>
      </w:r>
      <w:r>
        <w:rPr>
          <w:rFonts w:hint="eastAsia" w:ascii="仿宋_GB2312" w:hAnsi="仿宋_GB2312" w:eastAsia="仿宋_GB2312" w:cs="仿宋_GB2312"/>
          <w:b/>
          <w:bCs/>
          <w:color w:val="auto"/>
          <w:sz w:val="32"/>
          <w:szCs w:val="32"/>
          <w:highlight w:val="none"/>
        </w:rPr>
        <w:t>企业吸纳就业能力。</w:t>
      </w:r>
    </w:p>
    <w:p w14:paraId="4E3DF11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深入实施工业强区战略，推进新型工业化建设和高质量发展，做大做强机械装备、新材料、新能源等重点产业，抓好全国中小企业数字化转型试点城市建设。大力发展重点产业链，培育壮大国家和省级特色产业集群，不断提升产业发展对就业的支撑作用，五年内实现2个百亿级产业集群，新增规上工业企业30家以上，创造更多高质量就业岗位。</w:t>
      </w:r>
      <w:r>
        <w:rPr>
          <w:rFonts w:hint="eastAsia" w:ascii="仿宋_GB2312" w:hAnsi="仿宋_GB2312" w:eastAsia="仿宋_GB2312" w:cs="仿宋_GB2312"/>
          <w:b/>
          <w:bCs/>
          <w:color w:val="auto"/>
          <w:sz w:val="32"/>
          <w:szCs w:val="32"/>
          <w:highlight w:val="none"/>
        </w:rPr>
        <w:t>（牵头单位：区工信科技局，责任单位：各行业主管部门）</w:t>
      </w:r>
    </w:p>
    <w:p w14:paraId="29AD1E2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3.发展特色农林业促进就近就业。</w:t>
      </w:r>
      <w:r>
        <w:rPr>
          <w:rFonts w:hint="eastAsia" w:ascii="仿宋_GB2312" w:hAnsi="仿宋_GB2312" w:eastAsia="仿宋_GB2312" w:cs="仿宋_GB2312"/>
          <w:color w:val="auto"/>
          <w:sz w:val="32"/>
          <w:szCs w:val="32"/>
          <w:highlight w:val="none"/>
        </w:rPr>
        <w:t>以乡村振兴战略为总抓手，全力推进特色现代农业“177”产业体系建设。充分发挥农业产业化龙头企业引领作用，培育壮大龙岩山麻鸭、龙岩咸酥花生、九龙江亲水鱼等特色农业劳务品牌，强化“产加销”全链条协同。持续做大做强现代农业产业园、农业产业强镇、特色林下经济等平台载体，带动农村劳动力实现就近稳定就业。</w:t>
      </w:r>
      <w:r>
        <w:rPr>
          <w:rFonts w:hint="eastAsia" w:ascii="仿宋_GB2312" w:hAnsi="仿宋_GB2312" w:eastAsia="仿宋_GB2312" w:cs="仿宋_GB2312"/>
          <w:b/>
          <w:bCs/>
          <w:color w:val="auto"/>
          <w:sz w:val="32"/>
          <w:szCs w:val="32"/>
          <w:highlight w:val="none"/>
        </w:rPr>
        <w:t>（牵头单位：</w:t>
      </w:r>
      <w:r>
        <w:rPr>
          <w:rFonts w:hint="eastAsia" w:ascii="仿宋_GB2312" w:hAnsi="仿宋_GB2312" w:eastAsia="仿宋_GB2312" w:cs="仿宋_GB2312"/>
          <w:b/>
          <w:bCs/>
          <w:color w:val="auto"/>
          <w:sz w:val="32"/>
          <w:szCs w:val="32"/>
          <w:highlight w:val="none"/>
          <w:lang w:eastAsia="zh-CN"/>
        </w:rPr>
        <w:t>区农业农村</w:t>
      </w:r>
      <w:r>
        <w:rPr>
          <w:rFonts w:hint="eastAsia" w:ascii="仿宋_GB2312" w:hAnsi="仿宋_GB2312" w:eastAsia="仿宋_GB2312" w:cs="仿宋_GB2312"/>
          <w:b/>
          <w:bCs/>
          <w:color w:val="auto"/>
          <w:sz w:val="32"/>
          <w:szCs w:val="32"/>
          <w:highlight w:val="none"/>
        </w:rPr>
        <w:t>局，责任单位：</w:t>
      </w:r>
      <w:r>
        <w:rPr>
          <w:rFonts w:hint="eastAsia" w:ascii="仿宋_GB2312" w:hAnsi="仿宋_GB2312" w:eastAsia="仿宋_GB2312" w:cs="仿宋_GB2312"/>
          <w:b/>
          <w:bCs/>
          <w:color w:val="auto"/>
          <w:sz w:val="32"/>
          <w:szCs w:val="32"/>
          <w:highlight w:val="none"/>
          <w:lang w:eastAsia="zh-CN"/>
        </w:rPr>
        <w:t>区人社局、自然资源局</w:t>
      </w:r>
      <w:r>
        <w:rPr>
          <w:rFonts w:hint="eastAsia" w:ascii="仿宋_GB2312" w:hAnsi="仿宋_GB2312" w:eastAsia="仿宋_GB2312" w:cs="仿宋_GB2312"/>
          <w:b/>
          <w:bCs/>
          <w:color w:val="auto"/>
          <w:sz w:val="32"/>
          <w:szCs w:val="32"/>
          <w:highlight w:val="none"/>
        </w:rPr>
        <w:t>）</w:t>
      </w:r>
    </w:p>
    <w:p w14:paraId="390F583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4.扩大服务业领域就业规模。</w:t>
      </w:r>
      <w:r>
        <w:rPr>
          <w:rFonts w:hint="eastAsia" w:ascii="仿宋_GB2312" w:hAnsi="仿宋_GB2312" w:eastAsia="仿宋_GB2312" w:cs="仿宋_GB2312"/>
          <w:color w:val="auto"/>
          <w:sz w:val="32"/>
          <w:szCs w:val="32"/>
          <w:highlight w:val="none"/>
        </w:rPr>
        <w:t>着力拓展服务业就业空间。巩固提升文旅康养、现代物流等支柱性服务业，积极培育工业设计、科技服务、电子商务、低空经济等新业态、新模式。同时，加快发展教育、医疗、体育等高附加值服务业，推动职业技术培训、健康管理、远程医疗、专科服务、健身休闲、体育赛事运营等细分领域发展，并做强检测认证、标准咨询、人力资源服务、管理咨询等专业技术服务业，构建多元融合的服务业生态，打造闽粤赣边区域现代服务业发展高地，充分发挥服务业在稳定就业、促进增收方面的关键作用。创新推广共富工坊、共富林场、共富农场、共富乡村等普惠性就业模式，积极引导美丽工坊、社区养老、育幼家政、课后服务等灵活就业形态健康发展，支持各类新就业形态规范有序成长，拓宽居民就业增收渠道。</w:t>
      </w:r>
      <w:r>
        <w:rPr>
          <w:rFonts w:hint="eastAsia" w:ascii="仿宋_GB2312" w:hAnsi="仿宋_GB2312" w:eastAsia="仿宋_GB2312" w:cs="仿宋_GB2312"/>
          <w:b/>
          <w:bCs/>
          <w:color w:val="auto"/>
          <w:sz w:val="32"/>
          <w:szCs w:val="32"/>
          <w:highlight w:val="none"/>
        </w:rPr>
        <w:t>（牵头单位：区发改局</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责任单位：区教育局、工信科技局、民政局、人社局、交通运输局、农业农村局、商务局、文体旅游局、卫健局、市场监管局、区妇联</w:t>
      </w:r>
      <w:r>
        <w:rPr>
          <w:rFonts w:hint="eastAsia" w:ascii="仿宋_GB2312" w:hAnsi="仿宋_GB2312" w:eastAsia="仿宋_GB2312" w:cs="仿宋_GB2312"/>
          <w:b/>
          <w:bCs/>
          <w:color w:val="auto"/>
          <w:sz w:val="32"/>
          <w:szCs w:val="32"/>
          <w:highlight w:val="none"/>
          <w:lang w:eastAsia="zh-CN"/>
        </w:rPr>
        <w:t>、自然资源局</w:t>
      </w:r>
      <w:r>
        <w:rPr>
          <w:rFonts w:hint="eastAsia" w:ascii="仿宋_GB2312" w:hAnsi="仿宋_GB2312" w:eastAsia="仿宋_GB2312" w:cs="仿宋_GB2312"/>
          <w:b/>
          <w:bCs/>
          <w:color w:val="auto"/>
          <w:sz w:val="32"/>
          <w:szCs w:val="32"/>
          <w:highlight w:val="none"/>
        </w:rPr>
        <w:t>）</w:t>
      </w:r>
    </w:p>
    <w:p w14:paraId="5E3B8FE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5.拓宽民营经济就业空间。</w:t>
      </w:r>
      <w:r>
        <w:rPr>
          <w:rFonts w:hint="eastAsia" w:ascii="仿宋_GB2312" w:hAnsi="仿宋_GB2312" w:eastAsia="仿宋_GB2312" w:cs="仿宋_GB2312"/>
          <w:color w:val="auto"/>
          <w:sz w:val="32"/>
          <w:szCs w:val="32"/>
          <w:highlight w:val="none"/>
        </w:rPr>
        <w:t>贯彻落实促进民营经济发展壮大的措施，推进人力资源服务业与制造业融合发展，大力支持经营主体稳岗和开发就业岗位，拓宽市场化、社会化就业渠道。鼓励支持民营企业通过开展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订单式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冠名班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等校企办学培训模式培育和储备人才，健全民营企业专业技术人员评价激励机制。</w:t>
      </w:r>
      <w:r>
        <w:rPr>
          <w:rFonts w:hint="eastAsia" w:ascii="仿宋_GB2312" w:hAnsi="仿宋_GB2312" w:eastAsia="仿宋_GB2312" w:cs="仿宋_GB2312"/>
          <w:b/>
          <w:bCs/>
          <w:color w:val="auto"/>
          <w:sz w:val="32"/>
          <w:szCs w:val="32"/>
          <w:highlight w:val="none"/>
        </w:rPr>
        <w:t>（牵头单位：区</w:t>
      </w:r>
      <w:r>
        <w:rPr>
          <w:rFonts w:hint="eastAsia" w:ascii="仿宋_GB2312" w:hAnsi="仿宋_GB2312" w:eastAsia="仿宋_GB2312" w:cs="仿宋_GB2312"/>
          <w:b/>
          <w:bCs/>
          <w:color w:val="auto"/>
          <w:sz w:val="32"/>
          <w:szCs w:val="32"/>
          <w:highlight w:val="none"/>
          <w:lang w:eastAsia="zh-CN"/>
        </w:rPr>
        <w:t>发改</w:t>
      </w:r>
      <w:r>
        <w:rPr>
          <w:rFonts w:hint="eastAsia" w:ascii="仿宋_GB2312" w:hAnsi="仿宋_GB2312" w:eastAsia="仿宋_GB2312" w:cs="仿宋_GB2312"/>
          <w:b/>
          <w:bCs/>
          <w:color w:val="auto"/>
          <w:sz w:val="32"/>
          <w:szCs w:val="32"/>
          <w:highlight w:val="none"/>
        </w:rPr>
        <w:t>局</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责任单位：</w:t>
      </w:r>
      <w:r>
        <w:rPr>
          <w:rFonts w:hint="eastAsia" w:ascii="仿宋_GB2312" w:hAnsi="仿宋_GB2312" w:eastAsia="仿宋_GB2312" w:cs="仿宋_GB2312"/>
          <w:b/>
          <w:bCs/>
          <w:color w:val="auto"/>
          <w:sz w:val="32"/>
          <w:szCs w:val="32"/>
          <w:highlight w:val="none"/>
          <w:lang w:eastAsia="zh-CN"/>
        </w:rPr>
        <w:t>各行业主管部门</w:t>
      </w:r>
      <w:r>
        <w:rPr>
          <w:rFonts w:hint="eastAsia" w:ascii="仿宋_GB2312" w:hAnsi="仿宋_GB2312" w:eastAsia="仿宋_GB2312" w:cs="仿宋_GB2312"/>
          <w:b/>
          <w:bCs/>
          <w:color w:val="auto"/>
          <w:sz w:val="32"/>
          <w:szCs w:val="32"/>
          <w:highlight w:val="none"/>
        </w:rPr>
        <w:t>）</w:t>
      </w:r>
    </w:p>
    <w:p w14:paraId="1EC8F75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（二）构建重点群体就业支持体系</w:t>
      </w:r>
    </w:p>
    <w:p w14:paraId="69467DD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1.促进高校毕业生等青年就业。</w:t>
      </w:r>
      <w:r>
        <w:rPr>
          <w:rFonts w:hint="eastAsia" w:ascii="仿宋_GB2312" w:hAnsi="仿宋_GB2312" w:eastAsia="仿宋_GB2312" w:cs="仿宋_GB2312"/>
          <w:color w:val="auto"/>
          <w:sz w:val="32"/>
          <w:szCs w:val="32"/>
          <w:highlight w:val="none"/>
        </w:rPr>
        <w:t>推动岩籍优秀青年人才回引专项行动，扩大宣传、解读岩籍优秀青年人才回引政策渠道；通过“线下走访+线上推广”方式多元化向企业精准推送政策。</w:t>
      </w:r>
      <w:r>
        <w:rPr>
          <w:rFonts w:hint="eastAsia" w:ascii="仿宋_GB2312" w:hAnsi="仿宋_GB2312" w:eastAsia="仿宋_GB2312" w:cs="仿宋_GB2312"/>
          <w:color w:val="auto"/>
          <w:sz w:val="32"/>
          <w:szCs w:val="32"/>
          <w:highlight w:val="none"/>
          <w:u w:val="none"/>
        </w:rPr>
        <w:t>招</w:t>
      </w:r>
      <w:r>
        <w:rPr>
          <w:rFonts w:hint="eastAsia" w:ascii="仿宋_GB2312" w:hAnsi="仿宋_GB2312" w:eastAsia="仿宋_GB2312" w:cs="仿宋_GB2312"/>
          <w:color w:val="auto"/>
          <w:sz w:val="32"/>
          <w:szCs w:val="32"/>
          <w:highlight w:val="none"/>
          <w:u w:val="none"/>
          <w:lang w:eastAsia="zh-CN"/>
        </w:rPr>
        <w:t>聘（</w:t>
      </w:r>
      <w:r>
        <w:rPr>
          <w:rFonts w:hint="eastAsia" w:ascii="仿宋_GB2312" w:hAnsi="仿宋_GB2312" w:eastAsia="仿宋_GB2312" w:cs="仿宋_GB2312"/>
          <w:color w:val="auto"/>
          <w:sz w:val="32"/>
          <w:szCs w:val="32"/>
          <w:highlight w:val="none"/>
          <w:u w:val="none"/>
        </w:rPr>
        <w:t>募</w:t>
      </w:r>
      <w:r>
        <w:rPr>
          <w:rFonts w:hint="eastAsia" w:ascii="仿宋_GB2312" w:hAnsi="仿宋_GB2312" w:eastAsia="仿宋_GB2312" w:cs="仿宋_GB2312"/>
          <w:color w:val="auto"/>
          <w:sz w:val="32"/>
          <w:szCs w:val="32"/>
          <w:highlight w:val="none"/>
          <w:u w:val="none"/>
          <w:lang w:eastAsia="zh-CN"/>
        </w:rPr>
        <w:t>）社区工作者及</w:t>
      </w:r>
      <w:r>
        <w:rPr>
          <w:rFonts w:hint="eastAsia" w:ascii="仿宋_GB2312" w:hAnsi="仿宋_GB2312" w:eastAsia="仿宋_GB2312" w:cs="仿宋_GB2312"/>
          <w:color w:val="auto"/>
          <w:sz w:val="32"/>
          <w:szCs w:val="32"/>
          <w:highlight w:val="none"/>
          <w:u w:val="none"/>
        </w:rPr>
        <w:t>高校毕业生服务基层</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每年</w:t>
      </w:r>
      <w:r>
        <w:rPr>
          <w:rFonts w:hint="eastAsia" w:ascii="仿宋_GB2312" w:hAnsi="仿宋_GB2312" w:eastAsia="仿宋_GB2312" w:cs="仿宋_GB2312"/>
          <w:color w:val="auto"/>
          <w:sz w:val="32"/>
          <w:szCs w:val="32"/>
          <w:highlight w:val="none"/>
        </w:rPr>
        <w:t>开发不少于100个就业见习岗位。落实高校毕业生就业创业政策，引导青年人才向重点领域、基层一线和中小微企业集聚。落实“1131”服务机制，强化离校未就业毕业生精准帮扶机制。</w:t>
      </w:r>
      <w:r>
        <w:rPr>
          <w:rFonts w:hint="eastAsia" w:ascii="仿宋_GB2312" w:hAnsi="仿宋_GB2312" w:eastAsia="仿宋_GB2312" w:cs="仿宋_GB2312"/>
          <w:b/>
          <w:bCs/>
          <w:color w:val="auto"/>
          <w:sz w:val="32"/>
          <w:szCs w:val="32"/>
          <w:highlight w:val="none"/>
        </w:rPr>
        <w:t>（牵头单位：区人社局，责任单位：</w:t>
      </w:r>
      <w:r>
        <w:rPr>
          <w:rFonts w:hint="eastAsia" w:ascii="仿宋_GB2312" w:hAnsi="仿宋_GB2312" w:eastAsia="仿宋_GB2312" w:cs="仿宋_GB2312"/>
          <w:b/>
          <w:bCs/>
          <w:color w:val="auto"/>
          <w:sz w:val="32"/>
          <w:szCs w:val="32"/>
          <w:highlight w:val="none"/>
          <w:u w:val="none"/>
          <w:lang w:eastAsia="zh-CN"/>
        </w:rPr>
        <w:t>区委组织部、区委社会工作部、</w:t>
      </w:r>
      <w:r>
        <w:rPr>
          <w:rFonts w:hint="eastAsia" w:ascii="仿宋_GB2312" w:hAnsi="仿宋_GB2312" w:eastAsia="仿宋_GB2312" w:cs="仿宋_GB2312"/>
          <w:b/>
          <w:bCs/>
          <w:color w:val="auto"/>
          <w:sz w:val="32"/>
          <w:szCs w:val="32"/>
          <w:highlight w:val="none"/>
        </w:rPr>
        <w:t>区教育局、工信局、财政局、团区委）</w:t>
      </w:r>
    </w:p>
    <w:p w14:paraId="10B9D99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2.强化就业困难群体兜底帮</w:t>
      </w:r>
      <w:r>
        <w:rPr>
          <w:rFonts w:hint="eastAsia" w:ascii="仿宋_GB2312" w:hAnsi="仿宋_GB2312" w:eastAsia="仿宋_GB2312" w:cs="仿宋_GB2312"/>
          <w:b/>
          <w:bCs/>
          <w:color w:val="auto"/>
          <w:sz w:val="32"/>
          <w:szCs w:val="32"/>
          <w:highlight w:val="none"/>
          <w:lang w:eastAsia="zh-CN"/>
        </w:rPr>
        <w:t>扶</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落实分级分类就业帮扶机制，对大龄、残疾、较长时间失业等困难群体提供就业援助，确保零就业家庭动态清零。通过公益性岗位兜底安置，对就业困难人员到企业就业、灵活就业的按规定落实社会保险补贴。积极开发村级公益性岗位，实施“雨露计划”补助项目确保脱贫户（监测对象）稳岗就业。引导企业等市场主体将相关产业的部分生产加工环节布局到农村，带动当地就业困难人员就近就业，释放“富民、强村、惠企”综合效应，力争到2030年底全区发展共富车间100个，带动就业人数2000人以上。</w:t>
      </w:r>
      <w:r>
        <w:rPr>
          <w:rFonts w:hint="eastAsia" w:ascii="仿宋_GB2312" w:hAnsi="仿宋_GB2312" w:eastAsia="仿宋_GB2312" w:cs="仿宋_GB2312"/>
          <w:b/>
          <w:bCs/>
          <w:color w:val="auto"/>
          <w:sz w:val="32"/>
          <w:szCs w:val="32"/>
          <w:highlight w:val="none"/>
        </w:rPr>
        <w:t>（牵头单位：区人社局，责任单位：区</w:t>
      </w:r>
      <w:r>
        <w:rPr>
          <w:rFonts w:hint="eastAsia" w:ascii="仿宋_GB2312" w:hAnsi="仿宋_GB2312" w:eastAsia="仿宋_GB2312" w:cs="仿宋_GB2312"/>
          <w:b/>
          <w:bCs/>
          <w:color w:val="auto"/>
          <w:sz w:val="32"/>
          <w:szCs w:val="32"/>
          <w:highlight w:val="none"/>
          <w:lang w:eastAsia="zh-CN"/>
        </w:rPr>
        <w:t>民政</w:t>
      </w:r>
      <w:r>
        <w:rPr>
          <w:rFonts w:hint="eastAsia" w:ascii="仿宋_GB2312" w:hAnsi="仿宋_GB2312" w:eastAsia="仿宋_GB2312" w:cs="仿宋_GB2312"/>
          <w:b/>
          <w:bCs/>
          <w:color w:val="auto"/>
          <w:sz w:val="32"/>
          <w:szCs w:val="32"/>
          <w:highlight w:val="none"/>
        </w:rPr>
        <w:t>局、</w:t>
      </w:r>
      <w:r>
        <w:rPr>
          <w:rFonts w:hint="eastAsia" w:ascii="仿宋_GB2312" w:hAnsi="仿宋_GB2312" w:eastAsia="仿宋_GB2312" w:cs="仿宋_GB2312"/>
          <w:b/>
          <w:bCs/>
          <w:color w:val="auto"/>
          <w:sz w:val="32"/>
          <w:szCs w:val="32"/>
          <w:highlight w:val="none"/>
          <w:lang w:eastAsia="zh-CN"/>
        </w:rPr>
        <w:t>农业</w:t>
      </w:r>
      <w:r>
        <w:rPr>
          <w:rFonts w:hint="eastAsia" w:ascii="仿宋_GB2312" w:hAnsi="仿宋_GB2312" w:eastAsia="仿宋_GB2312" w:cs="仿宋_GB2312"/>
          <w:b/>
          <w:bCs/>
          <w:color w:val="auto"/>
          <w:sz w:val="32"/>
          <w:szCs w:val="32"/>
          <w:highlight w:val="none"/>
        </w:rPr>
        <w:t>局、</w:t>
      </w:r>
      <w:r>
        <w:rPr>
          <w:rFonts w:hint="eastAsia" w:ascii="仿宋_GB2312" w:hAnsi="仿宋_GB2312" w:eastAsia="仿宋_GB2312" w:cs="仿宋_GB2312"/>
          <w:b/>
          <w:bCs/>
          <w:color w:val="auto"/>
          <w:sz w:val="32"/>
          <w:szCs w:val="32"/>
          <w:highlight w:val="none"/>
          <w:lang w:eastAsia="zh-CN"/>
        </w:rPr>
        <w:t>区残联</w:t>
      </w:r>
      <w:r>
        <w:rPr>
          <w:rFonts w:hint="eastAsia" w:ascii="仿宋_GB2312" w:hAnsi="仿宋_GB2312" w:eastAsia="仿宋_GB2312" w:cs="仿宋_GB2312"/>
          <w:b/>
          <w:bCs/>
          <w:color w:val="auto"/>
          <w:sz w:val="32"/>
          <w:szCs w:val="32"/>
          <w:highlight w:val="none"/>
        </w:rPr>
        <w:t>）</w:t>
      </w:r>
    </w:p>
    <w:p w14:paraId="4EDDB21B">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3.统筹推进各类群体就业。</w:t>
      </w:r>
      <w:r>
        <w:rPr>
          <w:rFonts w:hint="eastAsia" w:ascii="仿宋_GB2312" w:hAnsi="仿宋_GB2312" w:eastAsia="仿宋_GB2312" w:cs="仿宋_GB2312"/>
          <w:color w:val="auto"/>
          <w:sz w:val="32"/>
          <w:szCs w:val="32"/>
          <w:highlight w:val="none"/>
        </w:rPr>
        <w:t>做好转业、退役接收安置工作，开展退役军人适应性培训、职业技能培训、就业岗位推荐等就业创业服务。搭建企业用工供需对接服务平台，开展线上线下一系列招聘服务活动，针对不同群体筛选适配岗位，打通就业对接“快车道”。强化技能培训，以技能提升促进就业匹配。强化扶残助残工作机制，对超比例安排、集中安置残疾人就业企业进行奖励；扶持残疾人辅助性就业机构、盲人按摩机构发展，拓宽残疾人就业渠道。实施女性就业创业促进计划，推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妈妈岗”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弹性岗</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灵活就业模式。支持各类群体自主创业、灵活就业，依托家门口就业服务站、零工驿站为灵活就业人员提供一站式服务。部门联动聚合力，联合教育、退役军人、残联、工会、妇联等部门，压实各领域就业帮扶责任，针对高校毕业生、退役军人、妇女、残疾人等群体开展专项就业服务。</w:t>
      </w:r>
      <w:r>
        <w:rPr>
          <w:rFonts w:hint="eastAsia" w:ascii="仿宋_GB2312" w:hAnsi="仿宋_GB2312" w:eastAsia="仿宋_GB2312" w:cs="仿宋_GB2312"/>
          <w:b/>
          <w:bCs/>
          <w:color w:val="auto"/>
          <w:sz w:val="32"/>
          <w:szCs w:val="32"/>
          <w:highlight w:val="none"/>
        </w:rPr>
        <w:t>（牵头单位：区人社局，责任单位：</w:t>
      </w:r>
      <w:r>
        <w:rPr>
          <w:rFonts w:hint="eastAsia" w:ascii="仿宋_GB2312" w:hAnsi="仿宋_GB2312" w:eastAsia="仿宋_GB2312" w:cs="仿宋_GB2312"/>
          <w:b/>
          <w:bCs/>
          <w:color w:val="auto"/>
          <w:sz w:val="32"/>
          <w:szCs w:val="32"/>
          <w:highlight w:val="none"/>
          <w:lang w:eastAsia="zh-CN"/>
        </w:rPr>
        <w:t>区委台办</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区退役军人事务局</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区妇联、残联</w:t>
      </w:r>
      <w:r>
        <w:rPr>
          <w:rFonts w:hint="eastAsia" w:ascii="仿宋_GB2312" w:hAnsi="仿宋_GB2312" w:eastAsia="仿宋_GB2312" w:cs="仿宋_GB2312"/>
          <w:b/>
          <w:bCs/>
          <w:color w:val="auto"/>
          <w:sz w:val="32"/>
          <w:szCs w:val="32"/>
          <w:highlight w:val="none"/>
        </w:rPr>
        <w:t>）</w:t>
      </w:r>
    </w:p>
    <w:p w14:paraId="039CDA5A">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4.鼓励创新创业带动就业。</w:t>
      </w:r>
      <w:r>
        <w:rPr>
          <w:rFonts w:hint="eastAsia" w:ascii="仿宋_GB2312" w:hAnsi="仿宋_GB2312" w:eastAsia="仿宋_GB2312" w:cs="仿宋_GB2312"/>
          <w:color w:val="auto"/>
          <w:sz w:val="32"/>
          <w:szCs w:val="32"/>
          <w:highlight w:val="none"/>
        </w:rPr>
        <w:t>推动中小企业数字化转型与技术改造，搭建产业链对接平台，助力创业企业融入产业生态。建设重点实验室、科技企业孵化器等载体，促进科技成果转化。</w:t>
      </w:r>
      <w:r>
        <w:rPr>
          <w:rFonts w:hint="eastAsia" w:ascii="仿宋_GB2312" w:hAnsi="仿宋_GB2312" w:eastAsia="仿宋_GB2312" w:cs="仿宋_GB2312"/>
          <w:color w:val="auto"/>
          <w:sz w:val="32"/>
          <w:szCs w:val="32"/>
          <w:highlight w:val="none"/>
          <w:lang w:eastAsia="zh-CN"/>
        </w:rPr>
        <w:t>支持院校建设创业实践基地，</w:t>
      </w:r>
      <w:r>
        <w:rPr>
          <w:rFonts w:hint="eastAsia" w:ascii="仿宋_GB2312" w:hAnsi="仿宋_GB2312" w:eastAsia="仿宋_GB2312" w:cs="仿宋_GB2312"/>
          <w:color w:val="auto"/>
          <w:sz w:val="32"/>
          <w:szCs w:val="32"/>
          <w:highlight w:val="none"/>
        </w:rPr>
        <w:t>组织马兰花创业培训，开展创业担保贷、大中专毕业生优秀创业项目资助项目申报等服务。落实一次性创业扶持、创业带动就业补贴等政策，举办初创企业经营能力提升班，进一步激发市场主体活力和创业带动就业倍增效应。</w:t>
      </w:r>
      <w:r>
        <w:rPr>
          <w:rFonts w:hint="eastAsia" w:ascii="仿宋_GB2312" w:hAnsi="仿宋_GB2312" w:eastAsia="仿宋_GB2312" w:cs="仿宋_GB2312"/>
          <w:color w:val="auto"/>
          <w:sz w:val="32"/>
          <w:szCs w:val="32"/>
          <w:highlight w:val="none"/>
          <w:lang w:eastAsia="zh-CN"/>
        </w:rPr>
        <w:t>实施扬帆计划，引导大学生参与实习实践创业。</w:t>
      </w:r>
      <w:r>
        <w:rPr>
          <w:rFonts w:hint="eastAsia" w:ascii="仿宋_GB2312" w:hAnsi="仿宋_GB2312" w:eastAsia="仿宋_GB2312" w:cs="仿宋_GB2312"/>
          <w:b/>
          <w:bCs/>
          <w:color w:val="auto"/>
          <w:sz w:val="32"/>
          <w:szCs w:val="32"/>
          <w:highlight w:val="none"/>
        </w:rPr>
        <w:t>(牵头单位:</w:t>
      </w:r>
      <w:r>
        <w:rPr>
          <w:rFonts w:hint="eastAsia" w:ascii="仿宋_GB2312" w:hAnsi="仿宋_GB2312" w:eastAsia="仿宋_GB2312" w:cs="仿宋_GB2312"/>
          <w:b/>
          <w:bCs/>
          <w:color w:val="auto"/>
          <w:sz w:val="32"/>
          <w:szCs w:val="32"/>
          <w:highlight w:val="none"/>
          <w:lang w:eastAsia="zh-CN"/>
        </w:rPr>
        <w:t>区</w:t>
      </w:r>
      <w:r>
        <w:rPr>
          <w:rFonts w:hint="eastAsia" w:ascii="仿宋_GB2312" w:hAnsi="仿宋_GB2312" w:eastAsia="仿宋_GB2312" w:cs="仿宋_GB2312"/>
          <w:b/>
          <w:bCs/>
          <w:color w:val="auto"/>
          <w:sz w:val="32"/>
          <w:szCs w:val="32"/>
          <w:highlight w:val="none"/>
        </w:rPr>
        <w:t>人社局，责任单位:</w:t>
      </w:r>
      <w:r>
        <w:rPr>
          <w:rFonts w:hint="eastAsia" w:ascii="仿宋_GB2312" w:hAnsi="仿宋_GB2312" w:eastAsia="仿宋_GB2312" w:cs="仿宋_GB2312"/>
          <w:b/>
          <w:bCs/>
          <w:color w:val="auto"/>
          <w:sz w:val="32"/>
          <w:szCs w:val="32"/>
          <w:highlight w:val="none"/>
          <w:lang w:eastAsia="zh-CN"/>
        </w:rPr>
        <w:t>区</w:t>
      </w:r>
      <w:r>
        <w:rPr>
          <w:rFonts w:hint="eastAsia" w:ascii="仿宋_GB2312" w:hAnsi="仿宋_GB2312" w:eastAsia="仿宋_GB2312" w:cs="仿宋_GB2312"/>
          <w:b/>
          <w:bCs/>
          <w:color w:val="auto"/>
          <w:sz w:val="32"/>
          <w:szCs w:val="32"/>
          <w:highlight w:val="none"/>
        </w:rPr>
        <w:t>发改</w:t>
      </w:r>
      <w:r>
        <w:rPr>
          <w:rFonts w:hint="eastAsia" w:ascii="仿宋_GB2312" w:hAnsi="仿宋_GB2312" w:eastAsia="仿宋_GB2312" w:cs="仿宋_GB2312"/>
          <w:b/>
          <w:bCs/>
          <w:color w:val="auto"/>
          <w:sz w:val="32"/>
          <w:szCs w:val="32"/>
          <w:highlight w:val="none"/>
          <w:lang w:eastAsia="zh-CN"/>
        </w:rPr>
        <w:t>局</w:t>
      </w:r>
      <w:r>
        <w:rPr>
          <w:rFonts w:hint="eastAsia" w:ascii="仿宋_GB2312" w:hAnsi="仿宋_GB2312" w:eastAsia="仿宋_GB2312" w:cs="仿宋_GB2312"/>
          <w:b/>
          <w:bCs/>
          <w:color w:val="auto"/>
          <w:sz w:val="32"/>
          <w:szCs w:val="32"/>
          <w:highlight w:val="none"/>
        </w:rPr>
        <w:t>、教育局、</w:t>
      </w:r>
      <w:r>
        <w:rPr>
          <w:rFonts w:hint="eastAsia" w:ascii="仿宋_GB2312" w:hAnsi="仿宋_GB2312" w:eastAsia="仿宋_GB2312" w:cs="仿宋_GB2312"/>
          <w:b/>
          <w:bCs/>
          <w:color w:val="auto"/>
          <w:sz w:val="32"/>
          <w:szCs w:val="32"/>
          <w:highlight w:val="none"/>
          <w:lang w:eastAsia="zh-CN"/>
        </w:rPr>
        <w:t>工信科技</w:t>
      </w:r>
      <w:r>
        <w:rPr>
          <w:rFonts w:hint="eastAsia" w:ascii="仿宋_GB2312" w:hAnsi="仿宋_GB2312" w:eastAsia="仿宋_GB2312" w:cs="仿宋_GB2312"/>
          <w:b/>
          <w:bCs/>
          <w:color w:val="auto"/>
          <w:sz w:val="32"/>
          <w:szCs w:val="32"/>
          <w:highlight w:val="none"/>
        </w:rPr>
        <w:t>局，团</w:t>
      </w:r>
      <w:r>
        <w:rPr>
          <w:rFonts w:hint="eastAsia" w:ascii="仿宋_GB2312" w:hAnsi="仿宋_GB2312" w:eastAsia="仿宋_GB2312" w:cs="仿宋_GB2312"/>
          <w:b/>
          <w:bCs/>
          <w:color w:val="auto"/>
          <w:sz w:val="32"/>
          <w:szCs w:val="32"/>
          <w:highlight w:val="none"/>
          <w:lang w:eastAsia="zh-CN"/>
        </w:rPr>
        <w:t>区</w:t>
      </w:r>
      <w:r>
        <w:rPr>
          <w:rFonts w:hint="eastAsia" w:ascii="仿宋_GB2312" w:hAnsi="仿宋_GB2312" w:eastAsia="仿宋_GB2312" w:cs="仿宋_GB2312"/>
          <w:b/>
          <w:bCs/>
          <w:color w:val="auto"/>
          <w:sz w:val="32"/>
          <w:szCs w:val="32"/>
          <w:highlight w:val="none"/>
        </w:rPr>
        <w:t>委)</w:t>
      </w:r>
    </w:p>
    <w:p w14:paraId="0D66C15E">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（三）构建终身职业技能培训体系</w:t>
      </w:r>
    </w:p>
    <w:p w14:paraId="75E2E18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1.提高教育与就业匹配度。</w:t>
      </w:r>
      <w:r>
        <w:rPr>
          <w:rFonts w:hint="eastAsia" w:ascii="仿宋_GB2312" w:hAnsi="仿宋_GB2312" w:eastAsia="仿宋_GB2312" w:cs="仿宋_GB2312"/>
          <w:color w:val="auto"/>
          <w:sz w:val="32"/>
          <w:szCs w:val="32"/>
          <w:highlight w:val="none"/>
        </w:rPr>
        <w:t>深化产教融合、校企协同育人，支持</w:t>
      </w:r>
      <w:r>
        <w:rPr>
          <w:rFonts w:hint="eastAsia" w:ascii="仿宋_GB2312" w:hAnsi="仿宋_GB2312" w:eastAsia="仿宋_GB2312" w:cs="仿宋_GB2312"/>
          <w:color w:val="auto"/>
          <w:sz w:val="32"/>
          <w:szCs w:val="32"/>
          <w:highlight w:val="none"/>
          <w:lang w:eastAsia="zh-CN"/>
        </w:rPr>
        <w:t>本地中职</w:t>
      </w:r>
      <w:r>
        <w:rPr>
          <w:rFonts w:hint="eastAsia" w:ascii="仿宋_GB2312" w:hAnsi="仿宋_GB2312" w:eastAsia="仿宋_GB2312" w:cs="仿宋_GB2312"/>
          <w:color w:val="auto"/>
          <w:sz w:val="32"/>
          <w:szCs w:val="32"/>
          <w:highlight w:val="none"/>
        </w:rPr>
        <w:t>学校进一步科学调整专业布局、优化专业结构、凝练专业特色、打造专业品牌，整体提升专业服务产业发展能力。坚持以市场需求为导向，建立专业动态调整机制，围绕产业办专业，稳妥推进专业结构调整，紧密对接产业链发展需求，推动专业向细分、深化方向发展。坚持以特色专业、传统骨干专业为引领，促进专业集群化发展，力争专业设置基本覆盖区域主导产业、特色产业、优势产业、战略性新兴产业和现代服务业。到2030年，新增若干“订单班”“预就业班”，定向培育符合企业岗位需求的高素质技术技能人才，实现学校对接区域产业发展的专业比例达90%。</w:t>
      </w:r>
      <w:r>
        <w:rPr>
          <w:rFonts w:hint="eastAsia" w:ascii="仿宋_GB2312" w:hAnsi="仿宋_GB2312" w:eastAsia="仿宋_GB2312" w:cs="仿宋_GB2312"/>
          <w:b/>
          <w:bCs/>
          <w:color w:val="auto"/>
          <w:sz w:val="32"/>
          <w:szCs w:val="32"/>
          <w:highlight w:val="none"/>
        </w:rPr>
        <w:t>（牵头单位：区教育局，责任单位：区人社局、龙岩华侨职业中专学校）</w:t>
      </w:r>
    </w:p>
    <w:p w14:paraId="1B48EF9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2.实施“技能照亮前程”培训行动。</w:t>
      </w:r>
      <w:r>
        <w:rPr>
          <w:rFonts w:hint="eastAsia" w:ascii="仿宋_GB2312" w:hAnsi="仿宋_GB2312" w:eastAsia="仿宋_GB2312" w:cs="仿宋_GB2312"/>
          <w:color w:val="auto"/>
          <w:sz w:val="32"/>
          <w:szCs w:val="32"/>
          <w:highlight w:val="none"/>
        </w:rPr>
        <w:t>围绕先进制造业、战略性新兴产业及托育、护理、康养、家政等民生重点领域，每年开展职业技能培训超1000人次。支持产业链头部企业实训基地建设，积极为本地产业企业和城乡劳动者技能提升发展提供培训和评价服务。支持各行各业高技能领军人才创建技能大师工作室，计划五年内建设国家、省、市级技能大师工作室10个，夯实产业升级的技能根基。</w:t>
      </w:r>
      <w:r>
        <w:rPr>
          <w:rFonts w:hint="eastAsia" w:ascii="仿宋_GB2312" w:hAnsi="仿宋_GB2312" w:eastAsia="仿宋_GB2312" w:cs="仿宋_GB2312"/>
          <w:b/>
          <w:bCs/>
          <w:color w:val="auto"/>
          <w:sz w:val="32"/>
          <w:szCs w:val="32"/>
          <w:highlight w:val="none"/>
        </w:rPr>
        <w:t>（牵头单位：区人社局，责任单位：各行业主管部门）</w:t>
      </w:r>
    </w:p>
    <w:p w14:paraId="658AF60D">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3.拓宽技能人才发展通道。</w:t>
      </w:r>
      <w:r>
        <w:rPr>
          <w:rFonts w:hint="eastAsia" w:ascii="仿宋_GB2312" w:hAnsi="仿宋_GB2312" w:eastAsia="仿宋_GB2312" w:cs="仿宋_GB2312"/>
          <w:color w:val="auto"/>
          <w:sz w:val="32"/>
          <w:szCs w:val="32"/>
          <w:highlight w:val="none"/>
        </w:rPr>
        <w:t>推进落实“学历证书+若干职业技能证书”制度，指导</w:t>
      </w:r>
      <w:r>
        <w:rPr>
          <w:rFonts w:hint="eastAsia" w:ascii="仿宋_GB2312" w:hAnsi="仿宋_GB2312" w:eastAsia="仿宋_GB2312" w:cs="仿宋_GB2312"/>
          <w:color w:val="auto"/>
          <w:sz w:val="32"/>
          <w:szCs w:val="32"/>
          <w:highlight w:val="none"/>
          <w:lang w:eastAsia="zh-CN"/>
        </w:rPr>
        <w:t>本地中职</w:t>
      </w:r>
      <w:r>
        <w:rPr>
          <w:rFonts w:hint="eastAsia" w:ascii="仿宋_GB2312" w:hAnsi="仿宋_GB2312" w:eastAsia="仿宋_GB2312" w:cs="仿宋_GB2312"/>
          <w:color w:val="auto"/>
          <w:sz w:val="32"/>
          <w:szCs w:val="32"/>
          <w:highlight w:val="none"/>
        </w:rPr>
        <w:t>学校结合专业特点，引导学生学习多种职业技能，实现一专多能。结合特色产业发展，健全完善民办培训学校技能培训体系，增加技能培训工种，规范培训过程。鼓励产业链头部大中型企业结合生产经营特点和实际需要，开展技能人才自主评价。</w:t>
      </w:r>
      <w:r>
        <w:rPr>
          <w:rFonts w:hint="eastAsia" w:ascii="仿宋_GB2312" w:hAnsi="仿宋_GB2312" w:eastAsia="仿宋_GB2312" w:cs="仿宋_GB2312"/>
          <w:b/>
          <w:bCs/>
          <w:color w:val="auto"/>
          <w:sz w:val="32"/>
          <w:szCs w:val="32"/>
          <w:highlight w:val="none"/>
        </w:rPr>
        <w:t>（牵头单位：区人社局，责任单位：区教育局）</w:t>
      </w:r>
    </w:p>
    <w:p w14:paraId="0F29F8C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4.深化就业观念教育引导</w:t>
      </w:r>
      <w:r>
        <w:rPr>
          <w:rFonts w:hint="eastAsia" w:ascii="仿宋_GB2312" w:hAnsi="仿宋_GB2312" w:eastAsia="仿宋_GB2312" w:cs="仿宋_GB2312"/>
          <w:color w:val="auto"/>
          <w:sz w:val="32"/>
          <w:szCs w:val="32"/>
          <w:highlight w:val="none"/>
        </w:rPr>
        <w:t>。抓细就业指导工作，开足、开满、开好职业生涯规划课程，将就业教育全面融入“三全育人”全过程，通过专题讲座、就业形势报告会等多元化形式，引导学生树立正确就业观、择业观，培育理性务实的就业理念，积极鼓励毕业生扎根龙岩、服务地方，到全市生产一线、产业园区和县乡基层建功立业。聚焦制造业等重点产业相关专业领域，推行“师带徒”精准培养模式，以定向培育夯实就业基础，拓宽毕业生就业渠道。</w:t>
      </w:r>
      <w:r>
        <w:rPr>
          <w:rFonts w:hint="eastAsia" w:ascii="仿宋_GB2312" w:hAnsi="仿宋_GB2312" w:eastAsia="仿宋_GB2312" w:cs="仿宋_GB2312"/>
          <w:b/>
          <w:bCs/>
          <w:color w:val="auto"/>
          <w:sz w:val="32"/>
          <w:szCs w:val="32"/>
          <w:highlight w:val="none"/>
        </w:rPr>
        <w:t>（牵头单位：区教育局，责任单位：区人社局、龙岩华侨职业中专学校）</w:t>
      </w:r>
    </w:p>
    <w:p w14:paraId="5D5C4AD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（四）构建城乡就业公共服务体系</w:t>
      </w:r>
    </w:p>
    <w:p w14:paraId="59CD814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1.健全就业公共服务体系。</w:t>
      </w:r>
      <w:r>
        <w:rPr>
          <w:rFonts w:hint="eastAsia" w:ascii="仿宋_GB2312" w:hAnsi="仿宋_GB2312" w:eastAsia="仿宋_GB2312" w:cs="仿宋_GB2312"/>
          <w:color w:val="auto"/>
          <w:sz w:val="32"/>
          <w:szCs w:val="32"/>
          <w:highlight w:val="none"/>
        </w:rPr>
        <w:t>依托</w:t>
      </w:r>
      <w:r>
        <w:rPr>
          <w:rFonts w:hint="eastAsia" w:ascii="仿宋_GB2312" w:hAnsi="仿宋_GB2312" w:eastAsia="仿宋_GB2312" w:cs="仿宋_GB2312"/>
          <w:color w:val="auto"/>
          <w:sz w:val="32"/>
          <w:szCs w:val="32"/>
          <w:highlight w:val="none"/>
          <w:lang w:eastAsia="zh-CN"/>
        </w:rPr>
        <w:t>村、</w:t>
      </w:r>
      <w:r>
        <w:rPr>
          <w:rFonts w:hint="eastAsia" w:ascii="仿宋_GB2312" w:hAnsi="仿宋_GB2312" w:eastAsia="仿宋_GB2312" w:cs="仿宋_GB2312"/>
          <w:color w:val="auto"/>
          <w:sz w:val="32"/>
          <w:szCs w:val="32"/>
          <w:highlight w:val="none"/>
        </w:rPr>
        <w:t>社区、乡镇</w:t>
      </w:r>
      <w:r>
        <w:rPr>
          <w:rFonts w:hint="eastAsia" w:ascii="仿宋_GB2312" w:hAnsi="仿宋_GB2312" w:eastAsia="仿宋_GB2312" w:cs="仿宋_GB2312"/>
          <w:color w:val="auto"/>
          <w:sz w:val="32"/>
          <w:szCs w:val="32"/>
          <w:highlight w:val="none"/>
          <w:lang w:eastAsia="zh-CN"/>
        </w:rPr>
        <w:t>便民</w:t>
      </w:r>
      <w:r>
        <w:rPr>
          <w:rFonts w:hint="eastAsia" w:ascii="仿宋_GB2312" w:hAnsi="仿宋_GB2312" w:eastAsia="仿宋_GB2312" w:cs="仿宋_GB2312"/>
          <w:color w:val="auto"/>
          <w:sz w:val="32"/>
          <w:szCs w:val="32"/>
          <w:highlight w:val="none"/>
        </w:rPr>
        <w:t>服务中心等现有场所，建设家门口就业服务站20个以上，按成效每个给予3-5万元补助。全面推广“龙零工”平台，优化灵活就业服务。实施“政府补贴基础险+雇主自愿补充险”双轨保障机制，基础险每单保费5元、保额不低于30万元，覆盖各年龄段零工从业人员。</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牵头单位:</w:t>
      </w:r>
      <w:r>
        <w:rPr>
          <w:rFonts w:hint="eastAsia" w:ascii="仿宋_GB2312" w:hAnsi="仿宋_GB2312" w:eastAsia="仿宋_GB2312" w:cs="仿宋_GB2312"/>
          <w:b/>
          <w:bCs/>
          <w:color w:val="auto"/>
          <w:sz w:val="32"/>
          <w:szCs w:val="32"/>
          <w:highlight w:val="none"/>
          <w:lang w:eastAsia="zh-CN"/>
        </w:rPr>
        <w:t>区</w:t>
      </w:r>
      <w:r>
        <w:rPr>
          <w:rFonts w:hint="eastAsia" w:ascii="仿宋_GB2312" w:hAnsi="仿宋_GB2312" w:eastAsia="仿宋_GB2312" w:cs="仿宋_GB2312"/>
          <w:b/>
          <w:bCs/>
          <w:color w:val="auto"/>
          <w:sz w:val="32"/>
          <w:szCs w:val="32"/>
          <w:highlight w:val="none"/>
        </w:rPr>
        <w:t>人社局，责任单位:</w:t>
      </w:r>
      <w:r>
        <w:rPr>
          <w:rFonts w:hint="eastAsia" w:ascii="仿宋_GB2312" w:hAnsi="仿宋_GB2312" w:eastAsia="仿宋_GB2312" w:cs="仿宋_GB2312"/>
          <w:b/>
          <w:bCs/>
          <w:color w:val="auto"/>
          <w:sz w:val="32"/>
          <w:szCs w:val="32"/>
          <w:highlight w:val="none"/>
          <w:u w:val="none"/>
          <w:lang w:eastAsia="zh-CN"/>
        </w:rPr>
        <w:t>区</w:t>
      </w:r>
      <w:r>
        <w:rPr>
          <w:rFonts w:hint="eastAsia" w:ascii="仿宋_GB2312" w:hAnsi="仿宋_GB2312" w:eastAsia="仿宋_GB2312" w:cs="仿宋_GB2312"/>
          <w:b/>
          <w:bCs/>
          <w:color w:val="auto"/>
          <w:sz w:val="32"/>
          <w:szCs w:val="32"/>
          <w:highlight w:val="none"/>
          <w:u w:val="none"/>
        </w:rPr>
        <w:t>发改</w:t>
      </w:r>
      <w:r>
        <w:rPr>
          <w:rFonts w:hint="eastAsia" w:ascii="仿宋_GB2312" w:hAnsi="仿宋_GB2312" w:eastAsia="仿宋_GB2312" w:cs="仿宋_GB2312"/>
          <w:b/>
          <w:bCs/>
          <w:color w:val="auto"/>
          <w:sz w:val="32"/>
          <w:szCs w:val="32"/>
          <w:highlight w:val="none"/>
          <w:u w:val="none"/>
          <w:lang w:eastAsia="zh-CN"/>
        </w:rPr>
        <w:t>局</w:t>
      </w:r>
      <w:r>
        <w:rPr>
          <w:rFonts w:hint="eastAsia" w:ascii="仿宋_GB2312" w:hAnsi="仿宋_GB2312" w:eastAsia="仿宋_GB2312" w:cs="仿宋_GB2312"/>
          <w:b/>
          <w:bCs/>
          <w:color w:val="auto"/>
          <w:sz w:val="32"/>
          <w:szCs w:val="32"/>
          <w:highlight w:val="none"/>
          <w:u w:val="none"/>
        </w:rPr>
        <w:t>、财政局</w:t>
      </w:r>
      <w:r>
        <w:rPr>
          <w:rFonts w:hint="eastAsia" w:ascii="仿宋_GB2312" w:hAnsi="仿宋_GB2312" w:eastAsia="仿宋_GB2312" w:cs="仿宋_GB2312"/>
          <w:b/>
          <w:bCs/>
          <w:color w:val="auto"/>
          <w:sz w:val="32"/>
          <w:szCs w:val="32"/>
          <w:highlight w:val="none"/>
          <w:lang w:eastAsia="zh-CN"/>
        </w:rPr>
        <w:t>）</w:t>
      </w:r>
    </w:p>
    <w:p w14:paraId="71784116">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2.强化多元供给的服务保障。</w:t>
      </w:r>
      <w:r>
        <w:rPr>
          <w:rFonts w:hint="eastAsia" w:ascii="仿宋_GB2312" w:hAnsi="仿宋_GB2312" w:eastAsia="仿宋_GB2312" w:cs="仿宋_GB2312"/>
          <w:color w:val="auto"/>
          <w:sz w:val="32"/>
          <w:szCs w:val="32"/>
          <w:highlight w:val="none"/>
        </w:rPr>
        <w:t>通过大型招聘、送工入企等线下招聘方式与入企探岗、直播带岗、信息推送等线上招聘方式相结合，每年组织开展各类线上线下招聘活动15场以上，承担招聘实施工作的人力资源服务机构每场可享受0.5-10万元补助。</w:t>
      </w:r>
      <w:r>
        <w:rPr>
          <w:rFonts w:hint="eastAsia" w:ascii="仿宋_GB2312" w:hAnsi="仿宋_GB2312" w:eastAsia="仿宋_GB2312" w:cs="仿宋_GB2312"/>
          <w:b/>
          <w:bCs/>
          <w:color w:val="auto"/>
          <w:sz w:val="32"/>
          <w:szCs w:val="32"/>
          <w:highlight w:val="none"/>
        </w:rPr>
        <w:t>（牵头单位：区</w:t>
      </w:r>
      <w:r>
        <w:rPr>
          <w:rFonts w:hint="eastAsia" w:ascii="仿宋_GB2312" w:hAnsi="仿宋_GB2312" w:eastAsia="仿宋_GB2312" w:cs="仿宋_GB2312"/>
          <w:b/>
          <w:bCs/>
          <w:color w:val="auto"/>
          <w:sz w:val="32"/>
          <w:szCs w:val="32"/>
          <w:highlight w:val="none"/>
          <w:lang w:eastAsia="zh-CN"/>
        </w:rPr>
        <w:t>人社</w:t>
      </w:r>
      <w:r>
        <w:rPr>
          <w:rFonts w:hint="eastAsia" w:ascii="仿宋_GB2312" w:hAnsi="仿宋_GB2312" w:eastAsia="仿宋_GB2312" w:cs="仿宋_GB2312"/>
          <w:b/>
          <w:bCs/>
          <w:color w:val="auto"/>
          <w:sz w:val="32"/>
          <w:szCs w:val="32"/>
          <w:highlight w:val="none"/>
        </w:rPr>
        <w:t>局</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责任单位：</w:t>
      </w:r>
      <w:r>
        <w:rPr>
          <w:rFonts w:hint="eastAsia" w:ascii="仿宋_GB2312" w:hAnsi="仿宋_GB2312" w:eastAsia="仿宋_GB2312" w:cs="仿宋_GB2312"/>
          <w:b/>
          <w:bCs/>
          <w:color w:val="auto"/>
          <w:sz w:val="32"/>
          <w:szCs w:val="32"/>
          <w:highlight w:val="none"/>
          <w:lang w:eastAsia="zh-CN"/>
        </w:rPr>
        <w:t>各行业主管部门</w:t>
      </w:r>
      <w:r>
        <w:rPr>
          <w:rFonts w:hint="eastAsia" w:ascii="仿宋_GB2312" w:hAnsi="仿宋_GB2312" w:eastAsia="仿宋_GB2312" w:cs="仿宋_GB2312"/>
          <w:b/>
          <w:bCs/>
          <w:color w:val="auto"/>
          <w:sz w:val="32"/>
          <w:szCs w:val="32"/>
          <w:highlight w:val="none"/>
        </w:rPr>
        <w:t>）</w:t>
      </w:r>
    </w:p>
    <w:p w14:paraId="33EC5CDD">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3.打造数字赋能服务模式。</w:t>
      </w:r>
      <w:r>
        <w:rPr>
          <w:rFonts w:hint="eastAsia" w:ascii="仿宋_GB2312" w:hAnsi="仿宋_GB2312" w:eastAsia="仿宋_GB2312" w:cs="仿宋_GB2312"/>
          <w:b w:val="0"/>
          <w:bCs w:val="0"/>
          <w:color w:val="auto"/>
          <w:sz w:val="32"/>
          <w:szCs w:val="32"/>
          <w:highlight w:val="none"/>
          <w:lang w:eastAsia="zh-CN"/>
        </w:rPr>
        <w:t>配合市级构</w:t>
      </w:r>
      <w:r>
        <w:rPr>
          <w:rFonts w:hint="eastAsia" w:ascii="仿宋_GB2312" w:hAnsi="仿宋_GB2312" w:eastAsia="仿宋_GB2312" w:cs="仿宋_GB2312"/>
          <w:color w:val="auto"/>
          <w:sz w:val="32"/>
          <w:szCs w:val="32"/>
          <w:highlight w:val="none"/>
          <w:lang w:eastAsia="zh-CN"/>
        </w:rPr>
        <w:t>建“数智就业”能力支撑、智能服务和就业监测三个体系，建设本地就业大数据中心(融合省人社厅“一库一平台”+跨部门数据+龙岩市公共服务数据)，建立全口径人力资源数据库。配合升级龙岩“超市模式”就业公共服务矩阵。运用大数据技术和决策中心分析能力，为产业布局、政策制定、项目推进、资源分配、人才培养引进提供数据支撑与决策依据。</w:t>
      </w:r>
      <w:r>
        <w:rPr>
          <w:rFonts w:hint="eastAsia" w:ascii="仿宋_GB2312" w:hAnsi="仿宋_GB2312" w:eastAsia="仿宋_GB2312" w:cs="仿宋_GB2312"/>
          <w:b/>
          <w:bCs/>
          <w:color w:val="auto"/>
          <w:sz w:val="32"/>
          <w:szCs w:val="32"/>
          <w:highlight w:val="none"/>
          <w:lang w:eastAsia="zh-CN"/>
        </w:rPr>
        <w:t>(牵头单位:区人社局，责任单位:区数据管理局)</w:t>
      </w:r>
    </w:p>
    <w:p w14:paraId="01167872">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（五）构建平等就业权益保障体系</w:t>
      </w:r>
    </w:p>
    <w:p w14:paraId="766257E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1.加强劳动者就业权益保障。</w:t>
      </w:r>
      <w:r>
        <w:rPr>
          <w:rFonts w:hint="eastAsia" w:ascii="仿宋_GB2312" w:hAnsi="仿宋_GB2312" w:eastAsia="仿宋_GB2312" w:cs="仿宋_GB2312"/>
          <w:color w:val="auto"/>
          <w:sz w:val="32"/>
          <w:szCs w:val="32"/>
          <w:highlight w:val="none"/>
        </w:rPr>
        <w:t>加强对用人单位贯彻劳动保障法律法规和实行劳动合同制度指导和服务，引导企业与劳动者依法签订劳动合同，维护劳动者就业权益。完善民事支持起诉机制，消除影响平等就业的不合理限制和就业歧视。加强联合执法，依法查处侵害劳动者合法权益的行为，做好欠薪违法失信联合惩戒，保障劳动者合法权益。</w:t>
      </w:r>
      <w:r>
        <w:rPr>
          <w:rFonts w:hint="eastAsia" w:ascii="仿宋_GB2312" w:hAnsi="仿宋_GB2312" w:eastAsia="仿宋_GB2312" w:cs="仿宋_GB2312"/>
          <w:b/>
          <w:bCs/>
          <w:color w:val="auto"/>
          <w:sz w:val="32"/>
          <w:szCs w:val="32"/>
          <w:highlight w:val="none"/>
        </w:rPr>
        <w:t>（牵头单位:区人社局，责任单位:区公安局、卫健局、法院、检察院、总工会）</w:t>
      </w:r>
    </w:p>
    <w:p w14:paraId="1A14DC2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2.深化和谐劳动关系建设。</w:t>
      </w:r>
      <w:r>
        <w:rPr>
          <w:rFonts w:hint="eastAsia" w:ascii="仿宋_GB2312" w:hAnsi="仿宋_GB2312" w:eastAsia="仿宋_GB2312" w:cs="仿宋_GB2312"/>
          <w:color w:val="auto"/>
          <w:sz w:val="32"/>
          <w:szCs w:val="32"/>
          <w:highlight w:val="none"/>
        </w:rPr>
        <w:t>加大劳动保障政策法规宣传力度，提升用人单位法治观念，积极营造依法用工的良好环境。积极响应群众诉求，推进劳动关系矛盾纠纷多元化解机制建设，强化劳动人事争议源头预防与化解，注重调解工作，切实提高调解成功率，推动劳动关系持续向好。</w:t>
      </w:r>
      <w:r>
        <w:rPr>
          <w:rFonts w:hint="eastAsia" w:ascii="仿宋_GB2312" w:hAnsi="仿宋_GB2312" w:eastAsia="仿宋_GB2312" w:cs="仿宋_GB2312"/>
          <w:b/>
          <w:bCs/>
          <w:color w:val="auto"/>
          <w:sz w:val="32"/>
          <w:szCs w:val="32"/>
          <w:highlight w:val="none"/>
        </w:rPr>
        <w:t>（牵头单位：区人社局，责任单位：区总工会、工商联）</w:t>
      </w:r>
    </w:p>
    <w:p w14:paraId="641FF95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3.加强社会保障制度落实。</w:t>
      </w:r>
      <w:r>
        <w:rPr>
          <w:rFonts w:hint="eastAsia" w:ascii="仿宋_GB2312" w:hAnsi="仿宋_GB2312" w:eastAsia="仿宋_GB2312" w:cs="仿宋_GB2312"/>
          <w:color w:val="auto"/>
          <w:sz w:val="32"/>
          <w:szCs w:val="32"/>
          <w:highlight w:val="none"/>
        </w:rPr>
        <w:t>实施社会保险高质量参保行动，推动用人单位及职工依法参加社会保险，落实灵活就业人员、农民工、新就业形态人员社会保障制度，落实全面取消在就业地参保户籍限制规定，推行社会保险规划服务，推动失业保险、工伤保险向职业劳动者广覆盖。完善就业与失业保险、最低生活保障联动机制，按规定兑现失业保险待遇，将符合条件的对象纳入社会救助保障。落实低保渐退期限、就业成本扣减等规定。</w:t>
      </w:r>
      <w:r>
        <w:rPr>
          <w:rFonts w:hint="eastAsia" w:ascii="仿宋_GB2312" w:hAnsi="仿宋_GB2312" w:eastAsia="仿宋_GB2312" w:cs="仿宋_GB2312"/>
          <w:b/>
          <w:bCs/>
          <w:color w:val="auto"/>
          <w:sz w:val="32"/>
          <w:szCs w:val="32"/>
          <w:highlight w:val="none"/>
        </w:rPr>
        <w:t>（牵头单位:区人社局，责任单位:区民政局、医保局）</w:t>
      </w:r>
    </w:p>
    <w:p w14:paraId="0538770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4.强化就业领域风险防范。</w:t>
      </w:r>
      <w:r>
        <w:rPr>
          <w:rFonts w:hint="eastAsia" w:ascii="仿宋_GB2312" w:hAnsi="仿宋_GB2312" w:eastAsia="仿宋_GB2312" w:cs="仿宋_GB2312"/>
          <w:color w:val="auto"/>
          <w:sz w:val="32"/>
          <w:szCs w:val="32"/>
          <w:highlight w:val="none"/>
        </w:rPr>
        <w:t>加强人社、工信、统计等部门联动，运用大数据分析失业登记、社保缴纳、用工信息等，智能研判风险。紧盯龙头企业用工波动,“一企一策”制定失业应急预案。发挥华侨职业中专和民办培训机构作用，开展数字技术、人工智能等职业技能培训，防范规模性失业风险。</w:t>
      </w:r>
      <w:r>
        <w:rPr>
          <w:rFonts w:hint="eastAsia" w:ascii="仿宋_GB2312" w:hAnsi="仿宋_GB2312" w:eastAsia="仿宋_GB2312" w:cs="仿宋_GB2312"/>
          <w:b/>
          <w:bCs/>
          <w:color w:val="auto"/>
          <w:sz w:val="32"/>
          <w:szCs w:val="32"/>
          <w:highlight w:val="none"/>
        </w:rPr>
        <w:t>（牵头单位:区人社局，责任单位:区委网信办，区教育局、工信局、统计局、数据管理局）</w:t>
      </w:r>
    </w:p>
    <w:p w14:paraId="0A358A0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、有关要求</w:t>
      </w:r>
    </w:p>
    <w:p w14:paraId="5A2947C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要充分发挥新罗区就业促进和劳动保护工作领导小组办公室的统筹协调作用，加强对就业工作的组织领导，</w:t>
      </w:r>
      <w:r>
        <w:rPr>
          <w:rFonts w:hint="eastAsia" w:ascii="仿宋_GB2312" w:hAnsi="仿宋_GB2312" w:eastAsia="仿宋_GB2312" w:cs="仿宋_GB2312"/>
          <w:color w:val="auto"/>
          <w:sz w:val="32"/>
          <w:szCs w:val="32"/>
          <w:highlight w:val="none"/>
          <w:lang w:eastAsia="zh-CN"/>
        </w:rPr>
        <w:t>各牵头部门坚持协调推动工作、跟踪落实，</w:t>
      </w:r>
      <w:r>
        <w:rPr>
          <w:rFonts w:hint="eastAsia" w:ascii="仿宋_GB2312" w:hAnsi="仿宋_GB2312" w:eastAsia="仿宋_GB2312" w:cs="仿宋_GB2312"/>
          <w:color w:val="auto"/>
          <w:sz w:val="32"/>
          <w:szCs w:val="32"/>
          <w:highlight w:val="none"/>
        </w:rPr>
        <w:t>推动促就业各项政策措施的落实。区各有关部门</w:t>
      </w:r>
      <w:r>
        <w:rPr>
          <w:rFonts w:hint="eastAsia" w:ascii="仿宋_GB2312" w:hAnsi="仿宋_GB2312" w:eastAsia="仿宋_GB2312" w:cs="仿宋_GB2312"/>
          <w:color w:val="auto"/>
          <w:sz w:val="32"/>
          <w:szCs w:val="32"/>
          <w:highlight w:val="none"/>
          <w:lang w:eastAsia="zh-CN"/>
        </w:rPr>
        <w:t>、各镇（街）、</w:t>
      </w:r>
      <w:r>
        <w:rPr>
          <w:rFonts w:hint="eastAsia" w:ascii="仿宋_GB2312" w:hAnsi="仿宋_GB2312" w:eastAsia="仿宋_GB2312" w:cs="仿宋_GB2312"/>
          <w:b w:val="0"/>
          <w:bCs w:val="0"/>
          <w:color w:val="auto"/>
          <w:sz w:val="32"/>
          <w:szCs w:val="32"/>
          <w:highlight w:val="none"/>
          <w:lang w:eastAsia="zh-CN"/>
        </w:rPr>
        <w:t>龙洲工业园、龙雁经济开发区</w:t>
      </w:r>
      <w:r>
        <w:rPr>
          <w:rFonts w:hint="eastAsia" w:ascii="仿宋_GB2312" w:hAnsi="仿宋_GB2312" w:eastAsia="仿宋_GB2312" w:cs="仿宋_GB2312"/>
          <w:color w:val="auto"/>
          <w:sz w:val="32"/>
          <w:szCs w:val="32"/>
          <w:highlight w:val="none"/>
          <w:lang w:eastAsia="zh-CN"/>
        </w:rPr>
        <w:t>要组织学习贯彻《福建省高质量充分就业促进条例》，履职尽责、积极作为、形成合力</w:t>
      </w:r>
      <w:r>
        <w:rPr>
          <w:rFonts w:hint="eastAsia" w:ascii="仿宋_GB2312" w:hAnsi="仿宋_GB2312" w:eastAsia="仿宋_GB2312" w:cs="仿宋_GB2312"/>
          <w:color w:val="auto"/>
          <w:sz w:val="32"/>
          <w:szCs w:val="32"/>
          <w:highlight w:val="none"/>
        </w:rPr>
        <w:t>落实好高质量充分就业各项措施，适时举办就业促进周、政策宣传月等宣传活动，</w:t>
      </w:r>
      <w:r>
        <w:rPr>
          <w:rFonts w:hint="eastAsia" w:ascii="仿宋_GB2312" w:hAnsi="仿宋_GB2312" w:eastAsia="仿宋_GB2312" w:cs="仿宋_GB2312"/>
          <w:color w:val="auto"/>
          <w:sz w:val="32"/>
          <w:szCs w:val="32"/>
          <w:highlight w:val="none"/>
          <w:lang w:eastAsia="zh-CN"/>
        </w:rPr>
        <w:t>打造更多国家、省市级品牌亮点，</w:t>
      </w:r>
      <w:r>
        <w:rPr>
          <w:rFonts w:hint="eastAsia" w:ascii="仿宋_GB2312" w:hAnsi="仿宋_GB2312" w:eastAsia="仿宋_GB2312" w:cs="仿宋_GB2312"/>
          <w:color w:val="auto"/>
          <w:sz w:val="32"/>
          <w:szCs w:val="32"/>
          <w:highlight w:val="none"/>
        </w:rPr>
        <w:t>及时总结宣传典型经验和实施成效，</w:t>
      </w:r>
      <w:r>
        <w:rPr>
          <w:rFonts w:hint="eastAsia" w:ascii="仿宋_GB2312" w:hAnsi="仿宋_GB2312" w:eastAsia="仿宋_GB2312" w:cs="仿宋_GB2312"/>
          <w:color w:val="auto"/>
          <w:sz w:val="32"/>
          <w:szCs w:val="32"/>
          <w:highlight w:val="none"/>
          <w:lang w:eastAsia="zh-CN"/>
        </w:rPr>
        <w:t>多渠道、多方位开展促进就业宣传报道，</w:t>
      </w:r>
      <w:r>
        <w:rPr>
          <w:rFonts w:hint="eastAsia" w:ascii="仿宋_GB2312" w:hAnsi="仿宋_GB2312" w:eastAsia="仿宋_GB2312" w:cs="仿宋_GB2312"/>
          <w:color w:val="auto"/>
          <w:sz w:val="32"/>
          <w:szCs w:val="32"/>
          <w:highlight w:val="none"/>
        </w:rPr>
        <w:t>营造良好就业创业环境。</w:t>
      </w:r>
    </w:p>
    <w:p w14:paraId="6FA17DE6">
      <w:pPr>
        <w:keepNext w:val="0"/>
        <w:keepLines w:val="0"/>
        <w:pageBreakBefore w:val="0"/>
        <w:widowControl/>
        <w:kinsoku/>
        <w:wordWrap/>
        <w:overflowPunct/>
        <w:topLinePunct w:val="0"/>
        <w:autoSpaceDE/>
        <w:autoSpaceDN/>
        <w:bidi w:val="0"/>
        <w:adjustRightInd/>
        <w:snapToGrid/>
        <w:spacing w:line="560" w:lineRule="exact"/>
        <w:ind w:left="420" w:firstLine="640"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方案</w:t>
      </w:r>
      <w:r>
        <w:rPr>
          <w:rFonts w:hint="eastAsia" w:ascii="仿宋_GB2312" w:hAnsi="仿宋_GB2312" w:eastAsia="仿宋_GB2312" w:cs="仿宋_GB2312"/>
          <w:color w:val="auto"/>
          <w:sz w:val="32"/>
          <w:szCs w:val="32"/>
          <w:highlight w:val="none"/>
        </w:rPr>
        <w:t>由龙岩市新罗区人力资源和社会保障局负责解释，自印发之日起施行，有效期到2030年12月31日。国家、省、市有明确实施期限的，按照上级规定执行。其他类别政策与本</w:t>
      </w:r>
      <w:r>
        <w:rPr>
          <w:rFonts w:hint="eastAsia" w:ascii="仿宋_GB2312" w:hAnsi="仿宋_GB2312" w:eastAsia="仿宋_GB2312" w:cs="仿宋_GB2312"/>
          <w:color w:val="auto"/>
          <w:sz w:val="32"/>
          <w:szCs w:val="32"/>
          <w:highlight w:val="none"/>
          <w:lang w:eastAsia="zh-CN"/>
        </w:rPr>
        <w:t>方案</w:t>
      </w:r>
      <w:r>
        <w:rPr>
          <w:rFonts w:hint="eastAsia" w:ascii="仿宋_GB2312" w:hAnsi="仿宋_GB2312" w:eastAsia="仿宋_GB2312" w:cs="仿宋_GB2312"/>
          <w:color w:val="auto"/>
          <w:sz w:val="32"/>
          <w:szCs w:val="32"/>
          <w:highlight w:val="none"/>
        </w:rPr>
        <w:t>就同一事项支持力度不一致的，按照从新不重复原则执行。</w:t>
      </w:r>
    </w:p>
    <w:p w14:paraId="30038577">
      <w:pPr>
        <w:keepNext w:val="0"/>
        <w:keepLines w:val="0"/>
        <w:pageBreakBefore w:val="0"/>
        <w:widowControl/>
        <w:kinsoku/>
        <w:wordWrap/>
        <w:overflowPunct/>
        <w:topLinePunct w:val="0"/>
        <w:autoSpaceDE/>
        <w:autoSpaceDN/>
        <w:bidi w:val="0"/>
        <w:adjustRightInd/>
        <w:snapToGrid/>
        <w:spacing w:line="560" w:lineRule="exact"/>
        <w:ind w:left="420" w:firstLine="640" w:firstLineChars="200"/>
        <w:jc w:val="left"/>
        <w:textAlignment w:val="baseline"/>
        <w:rPr>
          <w:rFonts w:hint="eastAsia" w:ascii="仿宋_GB2312" w:hAnsi="仿宋_GB2312" w:eastAsia="仿宋_GB2312" w:cs="仿宋_GB2312"/>
          <w:color w:val="auto"/>
          <w:sz w:val="32"/>
          <w:szCs w:val="32"/>
          <w:highlight w:val="none"/>
        </w:rPr>
      </w:pPr>
    </w:p>
    <w:sectPr>
      <w:footerReference r:id="rId3" w:type="default"/>
      <w:pgSz w:w="11906" w:h="16838"/>
      <w:pgMar w:top="2098" w:right="1474" w:bottom="1984" w:left="1587" w:header="13" w:footer="567" w:gutter="0"/>
      <w:pgNumType w:fmt="decimal"/>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Segoe UI Emoji">
    <w:altName w:val="Segoe UI"/>
    <w:panose1 w:val="020B0502040204020203"/>
    <w:charset w:val="00"/>
    <w:family w:val="auto"/>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1007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341DE">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A341DE">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00001"/>
    <w:multiLevelType w:val="singleLevel"/>
    <w:tmpl w:val="20000001"/>
    <w:lvl w:ilvl="0" w:tentative="0">
      <w:start w:val="1"/>
      <w:numFmt w:val="decimal"/>
      <w:pStyle w:val="20"/>
      <w:suff w:val="space"/>
      <w:lvlText w:val="%1 "/>
      <w:lvlJc w:val="right"/>
      <w:rPr>
        <w:rFonts w:ascii="微软雅黑" w:hAnsi="微软雅黑" w:eastAsia="微软雅黑" w:cs="微软雅黑"/>
        <w:color w:val="C0C6CF"/>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BEA6B"/>
    <w:rsid w:val="1E6F639F"/>
    <w:rsid w:val="2D43145E"/>
    <w:rsid w:val="2EB319B9"/>
    <w:rsid w:val="35F73991"/>
    <w:rsid w:val="37BF91A2"/>
    <w:rsid w:val="37D79D0D"/>
    <w:rsid w:val="3EB3BF58"/>
    <w:rsid w:val="3FAF9C39"/>
    <w:rsid w:val="4DDD4F90"/>
    <w:rsid w:val="57DF52AE"/>
    <w:rsid w:val="57FF7CB2"/>
    <w:rsid w:val="588E3ED4"/>
    <w:rsid w:val="58B7506D"/>
    <w:rsid w:val="5FEF692A"/>
    <w:rsid w:val="5FF41AEA"/>
    <w:rsid w:val="61FE213F"/>
    <w:rsid w:val="63FF221A"/>
    <w:rsid w:val="6EFF70D1"/>
    <w:rsid w:val="77F1D0D1"/>
    <w:rsid w:val="7BDF2D66"/>
    <w:rsid w:val="7C7F2FE6"/>
    <w:rsid w:val="7E27EC6C"/>
    <w:rsid w:val="7EF5B966"/>
    <w:rsid w:val="7EFD40D5"/>
    <w:rsid w:val="7EFE706F"/>
    <w:rsid w:val="7F7F5005"/>
    <w:rsid w:val="7FC7D4D0"/>
    <w:rsid w:val="7FE34DDD"/>
    <w:rsid w:val="7FEB25C3"/>
    <w:rsid w:val="7FFF6C6F"/>
    <w:rsid w:val="7FFFF5B0"/>
    <w:rsid w:val="963DE667"/>
    <w:rsid w:val="9EE5DA8A"/>
    <w:rsid w:val="A4F6A919"/>
    <w:rsid w:val="AF5E5D5A"/>
    <w:rsid w:val="AFEF4508"/>
    <w:rsid w:val="BC6A5ED2"/>
    <w:rsid w:val="BCECC7DB"/>
    <w:rsid w:val="BEA732B5"/>
    <w:rsid w:val="BFDDAC68"/>
    <w:rsid w:val="BFF734F5"/>
    <w:rsid w:val="D38D691B"/>
    <w:rsid w:val="DBFBBF65"/>
    <w:rsid w:val="DDC94A06"/>
    <w:rsid w:val="E77FFFCA"/>
    <w:rsid w:val="E9DDAEC2"/>
    <w:rsid w:val="EAFA0489"/>
    <w:rsid w:val="EBA77B56"/>
    <w:rsid w:val="EDB91779"/>
    <w:rsid w:val="EE964665"/>
    <w:rsid w:val="EF7FA38E"/>
    <w:rsid w:val="EFC87A5E"/>
    <w:rsid w:val="F3EE65D4"/>
    <w:rsid w:val="F5FD3E5D"/>
    <w:rsid w:val="F6FB8F6F"/>
    <w:rsid w:val="F7965BB9"/>
    <w:rsid w:val="F7B991D8"/>
    <w:rsid w:val="FAFF958B"/>
    <w:rsid w:val="FC936DE7"/>
    <w:rsid w:val="FCBDA65C"/>
    <w:rsid w:val="FD7D7D5F"/>
    <w:rsid w:val="FDFBE53A"/>
    <w:rsid w:val="FE3ED2A8"/>
    <w:rsid w:val="FF83C9E7"/>
    <w:rsid w:val="FFFFFD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微软雅黑" w:hAnsi="微软雅黑" w:eastAsia="微软雅黑" w:cs="微软雅黑"/>
      <w:color w:val="080F17"/>
      <w:sz w:val="22"/>
    </w:rPr>
  </w:style>
  <w:style w:type="paragraph" w:styleId="2">
    <w:name w:val="heading 1"/>
    <w:basedOn w:val="1"/>
    <w:next w:val="1"/>
    <w:qFormat/>
    <w:uiPriority w:val="0"/>
    <w:pPr>
      <w:spacing w:before="390" w:after="120" w:line="634" w:lineRule="exact"/>
      <w:outlineLvl w:val="0"/>
    </w:pPr>
    <w:rPr>
      <w:b/>
      <w:sz w:val="38"/>
    </w:rPr>
  </w:style>
  <w:style w:type="paragraph" w:styleId="3">
    <w:name w:val="heading 2"/>
    <w:basedOn w:val="1"/>
    <w:next w:val="1"/>
    <w:qFormat/>
    <w:uiPriority w:val="0"/>
    <w:pPr>
      <w:spacing w:before="330" w:after="120" w:line="536" w:lineRule="exact"/>
      <w:outlineLvl w:val="1"/>
    </w:pPr>
    <w:rPr>
      <w:b/>
      <w:sz w:val="32"/>
    </w:rPr>
  </w:style>
  <w:style w:type="paragraph" w:styleId="4">
    <w:name w:val="heading 3"/>
    <w:basedOn w:val="1"/>
    <w:next w:val="1"/>
    <w:qFormat/>
    <w:uiPriority w:val="0"/>
    <w:pPr>
      <w:spacing w:before="300" w:after="120" w:line="488" w:lineRule="exact"/>
      <w:outlineLvl w:val="2"/>
    </w:pPr>
    <w:rPr>
      <w:b/>
      <w:sz w:val="30"/>
    </w:rPr>
  </w:style>
  <w:style w:type="paragraph" w:styleId="5">
    <w:name w:val="heading 4"/>
    <w:basedOn w:val="1"/>
    <w:next w:val="1"/>
    <w:qFormat/>
    <w:uiPriority w:val="0"/>
    <w:pPr>
      <w:spacing w:before="270" w:after="120" w:line="439" w:lineRule="exact"/>
      <w:outlineLvl w:val="3"/>
    </w:pPr>
    <w:rPr>
      <w:b/>
      <w:sz w:val="26"/>
    </w:rPr>
  </w:style>
  <w:style w:type="paragraph" w:styleId="6">
    <w:name w:val="heading 5"/>
    <w:basedOn w:val="1"/>
    <w:next w:val="1"/>
    <w:qFormat/>
    <w:uiPriority w:val="0"/>
    <w:pPr>
      <w:spacing w:before="240" w:after="120" w:line="390" w:lineRule="exact"/>
      <w:outlineLvl w:val="4"/>
    </w:pPr>
    <w:rPr>
      <w:b/>
      <w:sz w:val="22"/>
    </w:rPr>
  </w:style>
  <w:style w:type="paragraph" w:styleId="7">
    <w:name w:val="heading 6"/>
    <w:basedOn w:val="1"/>
    <w:next w:val="1"/>
    <w:qFormat/>
    <w:uiPriority w:val="0"/>
    <w:pPr>
      <w:spacing w:before="240" w:after="120" w:line="390" w:lineRule="exact"/>
      <w:outlineLvl w:val="5"/>
    </w:pPr>
    <w:rPr>
      <w:b/>
      <w:sz w:val="2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3">
    <w:name w:val="Strong"/>
    <w:basedOn w:val="12"/>
    <w:qFormat/>
    <w:uiPriority w:val="0"/>
    <w:rPr>
      <w:b/>
    </w:rPr>
  </w:style>
  <w:style w:type="character" w:styleId="14">
    <w:name w:val="Hyperlink"/>
    <w:qFormat/>
    <w:uiPriority w:val="0"/>
    <w:rPr>
      <w:color w:val="0A6CFF"/>
      <w:u w:val="single" w:color="0A6CFF"/>
    </w:rPr>
  </w:style>
  <w:style w:type="paragraph" w:customStyle="1" w:styleId="15">
    <w:name w:val="MainTitle"/>
    <w:basedOn w:val="1"/>
    <w:qFormat/>
    <w:uiPriority w:val="0"/>
    <w:pPr>
      <w:pBdr>
        <w:bottom w:val="single" w:color="E2E6ED" w:sz="6" w:space="5"/>
      </w:pBdr>
      <w:spacing w:before="180" w:after="480" w:line="780" w:lineRule="exact"/>
    </w:pPr>
    <w:rPr>
      <w:b/>
      <w:sz w:val="44"/>
    </w:rPr>
  </w:style>
  <w:style w:type="character" w:customStyle="1" w:styleId="16">
    <w:name w:val="DateTime"/>
    <w:qFormat/>
    <w:uiPriority w:val="0"/>
    <w:rPr>
      <w:color w:val="0A6CFF"/>
    </w:rPr>
  </w:style>
  <w:style w:type="paragraph" w:customStyle="1" w:styleId="17">
    <w:name w:val="Blockquote"/>
    <w:basedOn w:val="1"/>
    <w:qFormat/>
    <w:uiPriority w:val="0"/>
    <w:pPr>
      <w:pBdr>
        <w:left w:val="single" w:color="E2E6ED" w:sz="36" w:space="12"/>
      </w:pBdr>
      <w:ind w:left="330" w:firstLine="0"/>
    </w:pPr>
    <w:rPr>
      <w:color w:val="767C85"/>
      <w:sz w:val="22"/>
    </w:rPr>
  </w:style>
  <w:style w:type="character" w:customStyle="1" w:styleId="18">
    <w:name w:val="Code"/>
    <w:qFormat/>
    <w:uiPriority w:val="0"/>
    <w:rPr>
      <w:bdr w:val="single" w:color="E2E6ED" w:sz="6" w:space="0"/>
    </w:rPr>
  </w:style>
  <w:style w:type="character" w:customStyle="1" w:styleId="19">
    <w:name w:val="Emoji"/>
    <w:qFormat/>
    <w:uiPriority w:val="0"/>
    <w:rPr>
      <w:rFonts w:ascii="Segoe UI Emoji" w:hAnsi="Segoe UI Emoji" w:eastAsia="Segoe UI Emoji" w:cs="Segoe UI Emoji"/>
    </w:rPr>
  </w:style>
  <w:style w:type="paragraph" w:customStyle="1" w:styleId="20">
    <w:name w:val="CodeBlock"/>
    <w:basedOn w:val="1"/>
    <w:qFormat/>
    <w:uiPriority w:val="0"/>
    <w:pPr>
      <w:numPr>
        <w:ilvl w:val="0"/>
        <w:numId w:val="1"/>
      </w:numPr>
      <w:pBdr>
        <w:top w:val="single" w:color="E2E6ED" w:sz="6" w:space="8"/>
        <w:left w:val="single" w:color="E2E6ED" w:sz="6" w:space="26"/>
        <w:bottom w:val="single" w:color="E2E6ED" w:sz="6" w:space="8"/>
        <w:right w:val="single" w:color="E2E6ED" w:sz="6" w:space="0"/>
      </w:pBdr>
      <w:shd w:val="clear" w:color="FFFFFF" w:fill="F5F7F9"/>
      <w:spacing w:before="0" w:after="0" w:line="300" w:lineRule="exact"/>
      <w:ind w:left="540" w:firstLine="0"/>
    </w:pPr>
    <w:rPr>
      <w:sz w:val="18"/>
    </w:rPr>
  </w:style>
  <w:style w:type="table" w:customStyle="1" w:styleId="21">
    <w:name w:val="HighlightBlock"/>
    <w:qFormat/>
    <w:uiPriority w:val="0"/>
    <w:tblPr>
      <w:tblBorders>
        <w:top w:val="single" w:color="FEC794" w:sz="6" w:space="0"/>
        <w:left w:val="single" w:color="FEC794" w:sz="6" w:space="0"/>
        <w:bottom w:val="single" w:color="FEC794" w:sz="6" w:space="0"/>
        <w:right w:val="single" w:color="FEC794" w:sz="6" w:space="0"/>
        <w:insideH w:val="single" w:color="FEC794" w:sz="6" w:space="0"/>
        <w:insideV w:val="single" w:color="FEC794" w:sz="6" w:space="0"/>
      </w:tblBorders>
      <w:tblCellMar>
        <w:left w:w="108" w:type="dxa"/>
        <w:right w:w="108" w:type="dxa"/>
      </w:tblCellMar>
    </w:tblPr>
  </w:style>
  <w:style w:type="paragraph" w:customStyle="1" w:styleId="22">
    <w:name w:val="Seperate"/>
    <w:basedOn w:val="1"/>
    <w:qFormat/>
    <w:uiPriority w:val="0"/>
    <w:pPr>
      <w:spacing w:before="0" w:after="0" w:line="120" w:lineRule="exac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5413</Words>
  <Characters>5479</Characters>
  <TotalTime>1</TotalTime>
  <ScaleCrop>false</ScaleCrop>
  <LinksUpToDate>false</LinksUpToDate>
  <CharactersWithSpaces>5480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2026-02-07T10:29:00Z</dcterms:created>
  <dc:creator>webotl</dc:creator>
  <cp:lastModifiedBy>泡面大丸子</cp:lastModifiedBy>
  <cp:lastPrinted>2026-03-05T14:58:00Z</cp:lastPrinted>
  <dcterms:modified xsi:type="dcterms:W3CDTF">2026-04-01T01:29:22Z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webotl</vt:lpwstr>
  </property>
  <property fmtid="{D5CDD505-2E9C-101B-9397-08002B2CF9AE}" pid="3" name="KSOProductBuildVer">
    <vt:lpwstr>2052-12.1.0.25225</vt:lpwstr>
  </property>
  <property fmtid="{D5CDD505-2E9C-101B-9397-08002B2CF9AE}" pid="4" name="ICV">
    <vt:lpwstr>CF113B5FCAC6E52A7E918269756B85F6</vt:lpwstr>
  </property>
  <property fmtid="{D5CDD505-2E9C-101B-9397-08002B2CF9AE}" pid="5" name="KSOTemplateDocerSaveRecord">
    <vt:lpwstr>eyJoZGlkIjoiNWUwYTE0NDRjZGM0ZDExZjhhZjRiMmE1MjNmZjFiY2QiLCJ1c2VySWQiOiIzMTQ4NzYxNTIifQ==</vt:lpwstr>
  </property>
</Properties>
</file>