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6F407">
      <w:pPr>
        <w:spacing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龙岩市皓丰科技有限公司2024年“7·31”一般触电事故调查报告</w:t>
      </w:r>
    </w:p>
    <w:p w14:paraId="6A1474D5">
      <w:pPr>
        <w:spacing w:line="560" w:lineRule="exact"/>
        <w:jc w:val="center"/>
        <w:rPr>
          <w:rFonts w:hint="eastAsia" w:ascii="方正小标宋简体" w:hAnsi="方正小标宋简体" w:eastAsia="方正小标宋简体" w:cs="方正小标宋简体"/>
          <w:bCs/>
          <w:sz w:val="44"/>
          <w:szCs w:val="44"/>
          <w:lang w:val="en-US" w:eastAsia="zh-CN"/>
        </w:rPr>
      </w:pPr>
    </w:p>
    <w:p w14:paraId="53EEFADE">
      <w:pPr>
        <w:widowControl w:val="0"/>
        <w:jc w:val="both"/>
        <w:rPr>
          <w:rFonts w:ascii="仿宋_GB2312" w:hAnsi="仿宋_GB2312" w:eastAsia="仿宋_GB2312" w:cs="仿宋_GB2312"/>
          <w:color w:val="auto"/>
          <w:sz w:val="32"/>
          <w:szCs w:val="32"/>
        </w:rPr>
      </w:pPr>
    </w:p>
    <w:p w14:paraId="08325E8F">
      <w:pPr>
        <w:widowControl w:val="0"/>
        <w:jc w:val="both"/>
        <w:rPr>
          <w:rFonts w:ascii="仿宋_GB2312" w:hAnsi="仿宋_GB2312" w:eastAsia="仿宋_GB2312" w:cs="仿宋_GB2312"/>
          <w:color w:val="auto"/>
          <w:sz w:val="32"/>
          <w:szCs w:val="32"/>
        </w:rPr>
      </w:pPr>
    </w:p>
    <w:p w14:paraId="25F14B88">
      <w:pPr>
        <w:widowControl w:val="0"/>
        <w:jc w:val="both"/>
        <w:rPr>
          <w:rFonts w:ascii="仿宋_GB2312" w:hAnsi="仿宋_GB2312" w:eastAsia="仿宋_GB2312" w:cs="仿宋_GB2312"/>
          <w:color w:val="auto"/>
          <w:sz w:val="32"/>
          <w:szCs w:val="32"/>
        </w:rPr>
      </w:pPr>
    </w:p>
    <w:p w14:paraId="46B5E51A">
      <w:pPr>
        <w:widowControl w:val="0"/>
        <w:jc w:val="both"/>
        <w:rPr>
          <w:rFonts w:ascii="仿宋_GB2312" w:hAnsi="仿宋_GB2312" w:eastAsia="仿宋_GB2312" w:cs="仿宋_GB2312"/>
          <w:color w:val="auto"/>
          <w:sz w:val="32"/>
          <w:szCs w:val="32"/>
        </w:rPr>
      </w:pPr>
    </w:p>
    <w:p w14:paraId="4D50538C">
      <w:pPr>
        <w:widowControl w:val="0"/>
        <w:jc w:val="both"/>
        <w:rPr>
          <w:rFonts w:ascii="仿宋_GB2312" w:hAnsi="仿宋_GB2312" w:eastAsia="仿宋_GB2312" w:cs="仿宋_GB2312"/>
          <w:color w:val="auto"/>
          <w:sz w:val="32"/>
          <w:szCs w:val="32"/>
        </w:rPr>
      </w:pPr>
    </w:p>
    <w:p w14:paraId="04B02206">
      <w:pPr>
        <w:widowControl w:val="0"/>
        <w:jc w:val="both"/>
        <w:rPr>
          <w:rFonts w:ascii="仿宋_GB2312" w:hAnsi="仿宋_GB2312" w:eastAsia="仿宋_GB2312" w:cs="仿宋_GB2312"/>
          <w:color w:val="auto"/>
          <w:sz w:val="32"/>
          <w:szCs w:val="32"/>
        </w:rPr>
      </w:pPr>
    </w:p>
    <w:p w14:paraId="4F7FECF2">
      <w:pPr>
        <w:widowControl w:val="0"/>
        <w:jc w:val="both"/>
        <w:rPr>
          <w:rFonts w:ascii="仿宋_GB2312" w:hAnsi="仿宋_GB2312" w:eastAsia="仿宋_GB2312" w:cs="仿宋_GB2312"/>
          <w:color w:val="auto"/>
          <w:sz w:val="32"/>
          <w:szCs w:val="32"/>
        </w:rPr>
      </w:pPr>
    </w:p>
    <w:p w14:paraId="6C3B3396">
      <w:pPr>
        <w:widowControl w:val="0"/>
        <w:spacing w:before="100" w:beforeAutospacing="1" w:after="120"/>
        <w:jc w:val="both"/>
        <w:rPr>
          <w:rFonts w:ascii="仿宋_GB2312" w:hAnsi="仿宋_GB2312" w:eastAsia="仿宋_GB2312" w:cs="仿宋_GB2312"/>
          <w:color w:val="auto"/>
          <w:sz w:val="32"/>
          <w:szCs w:val="32"/>
        </w:rPr>
      </w:pPr>
    </w:p>
    <w:p w14:paraId="1BD05979">
      <w:pPr>
        <w:widowControl w:val="0"/>
        <w:jc w:val="both"/>
        <w:rPr>
          <w:color w:val="auto"/>
          <w:szCs w:val="24"/>
        </w:rPr>
      </w:pPr>
    </w:p>
    <w:p w14:paraId="38D73D12">
      <w:pPr>
        <w:widowControl w:val="0"/>
        <w:jc w:val="both"/>
        <w:rPr>
          <w:rFonts w:ascii="仿宋_GB2312" w:hAnsi="仿宋_GB2312" w:eastAsia="仿宋_GB2312" w:cs="仿宋_GB2312"/>
          <w:color w:val="auto"/>
          <w:sz w:val="32"/>
          <w:szCs w:val="32"/>
        </w:rPr>
      </w:pPr>
    </w:p>
    <w:p w14:paraId="24A69F19">
      <w:pPr>
        <w:widowControl w:val="0"/>
        <w:jc w:val="both"/>
        <w:rPr>
          <w:rFonts w:ascii="仿宋_GB2312" w:hAnsi="仿宋_GB2312" w:eastAsia="仿宋_GB2312" w:cs="仿宋_GB2312"/>
          <w:color w:val="auto"/>
          <w:sz w:val="32"/>
          <w:szCs w:val="32"/>
        </w:rPr>
      </w:pPr>
    </w:p>
    <w:p w14:paraId="4C7076C9">
      <w:pPr>
        <w:widowControl w:val="0"/>
        <w:jc w:val="center"/>
        <w:rPr>
          <w:rFonts w:ascii="仿宋_GB2312" w:hAnsi="仿宋_GB2312" w:eastAsia="仿宋_GB2312" w:cs="仿宋_GB2312"/>
          <w:color w:val="auto"/>
          <w:sz w:val="32"/>
          <w:szCs w:val="32"/>
        </w:rPr>
      </w:pPr>
      <w:bookmarkStart w:id="0" w:name="_Toc2985"/>
      <w:r>
        <w:rPr>
          <w:rFonts w:hint="eastAsia" w:ascii="仿宋_GB2312" w:hAnsi="仿宋_GB2312" w:eastAsia="仿宋_GB2312" w:cs="仿宋_GB2312"/>
          <w:color w:val="auto"/>
          <w:sz w:val="32"/>
          <w:szCs w:val="32"/>
        </w:rPr>
        <w:t>新罗区政府事故调查组</w:t>
      </w:r>
      <w:bookmarkEnd w:id="0"/>
    </w:p>
    <w:p w14:paraId="70C114C4">
      <w:pPr>
        <w:jc w:val="center"/>
        <w:rPr>
          <w:rFonts w:ascii="仿宋_GB2312" w:hAnsi="仿宋_GB2312" w:eastAsia="仿宋_GB2312" w:cs="仿宋_GB2312"/>
          <w:color w:val="auto"/>
          <w:sz w:val="32"/>
          <w:szCs w:val="32"/>
        </w:rPr>
        <w:sectPr>
          <w:footnotePr>
            <w:numFmt w:val="decimalEnclosedCircleChinese"/>
            <w:numRestart w:val="eachPage"/>
          </w:footnotePr>
          <w:endnotePr>
            <w:numFmt w:val="decimalEnclosedCircleChinese"/>
            <w:numRestart w:val="eachSect"/>
          </w:endnotePr>
          <w:pgSz w:w="11906" w:h="16838"/>
          <w:pgMar w:top="1440" w:right="1800" w:bottom="1440" w:left="1800" w:header="851" w:footer="992" w:gutter="0"/>
          <w:pgNumType w:fmt="decimal" w:start="1"/>
          <w:cols w:space="425" w:num="1"/>
          <w:docGrid w:type="lines" w:linePitch="312" w:charSpace="0"/>
        </w:sect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w:t>
      </w:r>
    </w:p>
    <w:p w14:paraId="59C7A743">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龙岩市皓丰科技有限公司2024年“7·31”</w:t>
      </w:r>
    </w:p>
    <w:p w14:paraId="06ABAFCD">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一般触电事故调查报告</w:t>
      </w:r>
    </w:p>
    <w:p w14:paraId="2CF7745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楷体_GB2312" w:eastAsia="楷体_GB2312" w:cs="楷体_GB2312"/>
          <w:color w:val="FF0000"/>
          <w:sz w:val="32"/>
          <w:szCs w:val="32"/>
        </w:rPr>
      </w:pPr>
    </w:p>
    <w:p w14:paraId="10B434E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2024年7月31日，龙岩市皓丰科技有限公司电箱维修作业时发生一起触电事故，造成1人死亡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直接经济损失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161.95万</w:t>
      </w:r>
      <w:r>
        <w:rPr>
          <w:rFonts w:hint="eastAsia" w:ascii="仿宋_GB2312" w:hAnsi="仿宋_GB2312" w:eastAsia="仿宋_GB2312" w:cs="仿宋_GB2312"/>
          <w:color w:val="auto"/>
          <w:sz w:val="32"/>
          <w:szCs w:val="32"/>
          <w:lang w:val="en-US" w:eastAsia="zh-CN"/>
        </w:rPr>
        <w:t>元</w:t>
      </w:r>
      <w:r>
        <w:rPr>
          <w:rFonts w:hint="eastAsia" w:ascii="仿宋_GB2312" w:hAnsi="仿宋_GB2312" w:eastAsia="仿宋_GB2312" w:cs="仿宋_GB2312"/>
          <w:color w:val="auto"/>
          <w:sz w:val="32"/>
          <w:szCs w:val="32"/>
        </w:rPr>
        <w:t>。</w:t>
      </w:r>
    </w:p>
    <w:p w14:paraId="261E30B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依据《中华人民共和国安全生产法》《生产安全事故报告和调查处理条例》（国务院令第493号）</w:t>
      </w:r>
      <w:r>
        <w:rPr>
          <w:rFonts w:hint="eastAsia" w:ascii="仿宋_GB2312" w:hAnsi="仿宋_GB2312" w:eastAsia="仿宋_GB2312" w:cs="仿宋_GB2312"/>
          <w:sz w:val="32"/>
          <w:szCs w:val="32"/>
        </w:rPr>
        <w:t>等有关法律法规</w:t>
      </w:r>
      <w:r>
        <w:rPr>
          <w:rFonts w:hint="eastAsia" w:ascii="仿宋_GB2312" w:hAnsi="仿宋_GB2312" w:eastAsia="仿宋_GB2312" w:cs="仿宋_GB2312"/>
          <w:color w:val="auto"/>
          <w:sz w:val="32"/>
          <w:szCs w:val="32"/>
          <w:u w:val="none"/>
        </w:rPr>
        <w:t>，受新罗区人民政府委托，新罗区应急管理局依法牵头组织</w:t>
      </w:r>
      <w:r>
        <w:rPr>
          <w:rFonts w:hint="eastAsia" w:ascii="仿宋_GB2312" w:hAnsi="仿宋_GB2312" w:eastAsia="仿宋_GB2312" w:cs="仿宋_GB2312"/>
          <w:color w:val="auto"/>
          <w:sz w:val="32"/>
          <w:szCs w:val="32"/>
          <w:u w:val="none"/>
          <w:lang w:eastAsia="zh-CN"/>
        </w:rPr>
        <w:t>新罗</w:t>
      </w:r>
      <w:r>
        <w:rPr>
          <w:rFonts w:hint="eastAsia" w:ascii="仿宋_GB2312" w:hAnsi="仿宋_GB2312" w:eastAsia="仿宋_GB2312" w:cs="仿宋_GB2312"/>
          <w:color w:val="auto"/>
          <w:sz w:val="32"/>
          <w:szCs w:val="32"/>
          <w:lang w:val="en-US" w:eastAsia="zh-CN"/>
        </w:rPr>
        <w:t>区工信科技局</w:t>
      </w:r>
      <w:r>
        <w:rPr>
          <w:rFonts w:hint="eastAsia" w:ascii="仿宋_GB2312" w:hAnsi="仿宋_GB2312" w:eastAsia="仿宋_GB2312" w:cs="仿宋_GB2312"/>
          <w:color w:val="auto"/>
          <w:sz w:val="32"/>
          <w:szCs w:val="32"/>
          <w:u w:val="none"/>
        </w:rPr>
        <w:t>、龙岩市公安局新罗分局、区总工会、</w:t>
      </w:r>
      <w:r>
        <w:rPr>
          <w:rFonts w:hint="eastAsia" w:ascii="仿宋_GB2312" w:hAnsi="仿宋_GB2312" w:eastAsia="仿宋_GB2312" w:cs="仿宋_GB2312"/>
          <w:sz w:val="32"/>
          <w:szCs w:val="32"/>
          <w:lang w:val="en-US" w:eastAsia="zh-CN"/>
        </w:rPr>
        <w:t>铁山街道办事处</w:t>
      </w:r>
      <w:r>
        <w:rPr>
          <w:rFonts w:hint="eastAsia" w:ascii="仿宋_GB2312" w:hAnsi="仿宋_GB2312" w:eastAsia="仿宋_GB2312" w:cs="仿宋_GB2312"/>
          <w:color w:val="auto"/>
          <w:sz w:val="32"/>
          <w:szCs w:val="32"/>
          <w:u w:val="none"/>
        </w:rPr>
        <w:t>组成事故调查组，并邀请区纪委监委参与，依法开展事故调查。</w:t>
      </w:r>
    </w:p>
    <w:p w14:paraId="376A30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事故调查组按照“四不放过”和“科学严谨、依法依规、实事求是、注重实效”的原则，通过现场勘验，调查取证，对相关信息、数据资料、事实材料、相关证据综合分析，查明了事故发生的经过、原因、人员伤亡情况及直接经济损失，认定了事故的性质和责任，提出了对有关责任人员及责任单位的处理建议，提出了事故防范及整改措施建议。</w:t>
      </w:r>
    </w:p>
    <w:p w14:paraId="4184AC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经调查认定，龙岩市皓丰科技有限公司2024年“7·31”一般触电事故是一起因工人违章操作，未穿戴绝缘防护用品，工作过程无人监护，单独操作导致人员伤亡,且</w:t>
      </w:r>
      <w:r>
        <w:rPr>
          <w:rFonts w:hint="eastAsia" w:ascii="仿宋_GB2312" w:hAnsi="仿宋_GB2312" w:eastAsia="仿宋_GB2312" w:cs="仿宋_GB2312"/>
          <w:sz w:val="32"/>
          <w:szCs w:val="32"/>
        </w:rPr>
        <w:t>事故发生后</w:t>
      </w:r>
      <w:r>
        <w:rPr>
          <w:rFonts w:hint="eastAsia" w:ascii="仿宋_GB2312" w:hAnsi="仿宋_GB2312" w:eastAsia="仿宋_GB2312" w:cs="仿宋_GB2312"/>
          <w:sz w:val="32"/>
          <w:szCs w:val="32"/>
          <w:lang w:eastAsia="zh-CN"/>
        </w:rPr>
        <w:t>属地</w:t>
      </w:r>
      <w:r>
        <w:rPr>
          <w:rFonts w:hint="eastAsia" w:ascii="仿宋_GB2312" w:hAnsi="仿宋_GB2312" w:eastAsia="仿宋_GB2312" w:cs="仿宋_GB2312"/>
          <w:sz w:val="32"/>
          <w:szCs w:val="32"/>
        </w:rPr>
        <w:t>未按规定上报</w:t>
      </w:r>
      <w:r>
        <w:rPr>
          <w:rFonts w:hint="eastAsia" w:ascii="仿宋_GB2312" w:hAnsi="仿宋_GB2312" w:eastAsia="仿宋_GB2312" w:cs="仿宋_GB2312"/>
          <w:color w:val="auto"/>
          <w:sz w:val="32"/>
          <w:szCs w:val="32"/>
          <w:u w:val="none"/>
          <w:lang w:val="en-US" w:eastAsia="zh-CN"/>
        </w:rPr>
        <w:t>的一般生产安全责任事故。现将事故调查有关情况汇报如下：</w:t>
      </w:r>
    </w:p>
    <w:p w14:paraId="1FCAC91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val="0"/>
          <w:color w:val="auto"/>
          <w:sz w:val="32"/>
          <w:szCs w:val="32"/>
        </w:rPr>
      </w:pPr>
      <w:r>
        <w:rPr>
          <w:rFonts w:hint="eastAsia" w:ascii="黑体" w:hAnsi="黑体" w:eastAsia="黑体" w:cs="黑体"/>
          <w:b w:val="0"/>
          <w:bCs/>
          <w:color w:val="auto"/>
          <w:sz w:val="32"/>
          <w:szCs w:val="32"/>
        </w:rPr>
        <w:t>一、基本情况</w:t>
      </w:r>
    </w:p>
    <w:p w14:paraId="24AED29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color w:val="auto"/>
          <w:sz w:val="32"/>
          <w:szCs w:val="32"/>
        </w:rPr>
      </w:pPr>
      <w:r>
        <w:rPr>
          <w:rFonts w:hint="eastAsia" w:ascii="楷体_GB2312" w:hAnsi="楷体_GB2312" w:eastAsia="楷体_GB2312" w:cs="楷体_GB2312"/>
          <w:b/>
          <w:color w:val="auto"/>
          <w:sz w:val="32"/>
          <w:szCs w:val="32"/>
        </w:rPr>
        <w:t>（</w:t>
      </w:r>
      <w:r>
        <w:rPr>
          <w:rFonts w:hint="eastAsia" w:ascii="楷体_GB2312" w:hAnsi="楷体_GB2312" w:eastAsia="楷体_GB2312" w:cs="楷体_GB2312"/>
          <w:b/>
          <w:color w:val="auto"/>
          <w:sz w:val="32"/>
          <w:szCs w:val="32"/>
          <w:lang w:val="en-US" w:eastAsia="zh-CN"/>
        </w:rPr>
        <w:t>一</w:t>
      </w:r>
      <w:r>
        <w:rPr>
          <w:rFonts w:hint="eastAsia" w:ascii="楷体_GB2312" w:hAnsi="楷体_GB2312" w:eastAsia="楷体_GB2312" w:cs="楷体_GB2312"/>
          <w:b/>
          <w:color w:val="auto"/>
          <w:sz w:val="32"/>
          <w:szCs w:val="32"/>
        </w:rPr>
        <w:t>）事故单位基本情况</w:t>
      </w:r>
    </w:p>
    <w:p w14:paraId="2542F1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FF0000"/>
          <w:sz w:val="32"/>
          <w:szCs w:val="32"/>
          <w:u w:val="none"/>
          <w:lang w:eastAsia="zh-CN"/>
        </w:rPr>
      </w:pPr>
      <w:r>
        <w:rPr>
          <w:rFonts w:hint="eastAsia" w:ascii="仿宋_GB2312" w:hAnsi="仿宋_GB2312" w:eastAsia="仿宋_GB2312" w:cs="仿宋_GB2312"/>
          <w:sz w:val="32"/>
          <w:szCs w:val="32"/>
          <w:lang w:val="en-US" w:eastAsia="zh-CN"/>
        </w:rPr>
        <w:t>龙岩市皓丰科技有限公司（以下简称皓丰公司）成立于2019年06月24日，法定代表人：张岚，统一社会信用代码91350802MA32TQ2F6G, 公司类型为有限责任公司,注册地址:福建省龙岩市新罗区铁山镇平林村新店路28号,注册资本750万元,经营范围：其他工程和技术研究与试验发展服务；新材料技术推广服务；建材批发；陶瓷，石材装饰材料零售；日用陶瓷制品制造；其他非金属矿及制品批发；其他未列明批发业（不含需经许可审批的经营项目）。皓丰公司现有员工：26人,</w:t>
      </w:r>
      <w:r>
        <w:rPr>
          <w:rFonts w:hint="eastAsia" w:ascii="仿宋_GB2312" w:hAnsi="仿宋_GB2312" w:eastAsia="仿宋_GB2312" w:cs="仿宋_GB2312"/>
          <w:sz w:val="32"/>
          <w:szCs w:val="32"/>
        </w:rPr>
        <w:t>主要负责人为吴志钢（股东），实际负责企业日常生产经营及安全生产管理工作，法定代表人张岚未参与企业实际管理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u w:val="none"/>
          <w:lang w:val="en-US" w:eastAsia="zh-CN"/>
        </w:rPr>
        <w:t>有</w:t>
      </w:r>
      <w:r>
        <w:rPr>
          <w:rFonts w:hint="eastAsia" w:ascii="仿宋_GB2312" w:hAnsi="仿宋_GB2312" w:eastAsia="仿宋_GB2312" w:cs="仿宋_GB2312"/>
          <w:color w:val="auto"/>
          <w:sz w:val="32"/>
          <w:szCs w:val="32"/>
          <w:u w:val="none"/>
          <w:lang w:eastAsia="zh-CN"/>
        </w:rPr>
        <w:t>制定</w:t>
      </w:r>
      <w:r>
        <w:rPr>
          <w:rFonts w:hint="eastAsia" w:ascii="仿宋_GB2312" w:hAnsi="仿宋_GB2312" w:eastAsia="仿宋_GB2312" w:cs="仿宋_GB2312"/>
          <w:color w:val="auto"/>
          <w:sz w:val="32"/>
          <w:szCs w:val="32"/>
          <w:u w:val="none"/>
          <w:lang w:val="en-US" w:eastAsia="zh-CN"/>
        </w:rPr>
        <w:t>隐患排查和教育培训等</w:t>
      </w:r>
      <w:r>
        <w:rPr>
          <w:rFonts w:hint="eastAsia" w:ascii="仿宋_GB2312" w:hAnsi="仿宋_GB2312" w:eastAsia="仿宋_GB2312" w:cs="仿宋_GB2312"/>
          <w:color w:val="auto"/>
          <w:sz w:val="32"/>
          <w:szCs w:val="32"/>
          <w:u w:val="none"/>
          <w:lang w:eastAsia="zh-CN"/>
        </w:rPr>
        <w:t>安全生产规章制度，</w:t>
      </w:r>
      <w:r>
        <w:rPr>
          <w:rFonts w:hint="eastAsia" w:ascii="仿宋_GB2312" w:hAnsi="仿宋_GB2312" w:eastAsia="仿宋_GB2312" w:cs="仿宋_GB2312"/>
          <w:color w:val="auto"/>
          <w:sz w:val="32"/>
          <w:szCs w:val="32"/>
          <w:u w:val="none"/>
          <w:lang w:val="en-US" w:eastAsia="zh-CN"/>
        </w:rPr>
        <w:t>有制定法定代表人和安全员</w:t>
      </w:r>
      <w:r>
        <w:rPr>
          <w:rFonts w:hint="eastAsia" w:ascii="仿宋_GB2312" w:hAnsi="仿宋_GB2312" w:eastAsia="仿宋_GB2312" w:cs="仿宋_GB2312"/>
          <w:color w:val="auto"/>
          <w:sz w:val="32"/>
          <w:szCs w:val="32"/>
          <w:u w:val="none"/>
          <w:lang w:eastAsia="zh-CN"/>
        </w:rPr>
        <w:t>安全生产责任制</w:t>
      </w:r>
      <w:r>
        <w:rPr>
          <w:rFonts w:hint="eastAsia" w:ascii="仿宋_GB2312" w:hAnsi="仿宋_GB2312" w:eastAsia="仿宋_GB2312" w:cs="仿宋_GB2312"/>
          <w:color w:val="auto"/>
          <w:sz w:val="32"/>
          <w:szCs w:val="32"/>
          <w:u w:val="none"/>
          <w:lang w:val="en-US" w:eastAsia="zh-CN"/>
        </w:rPr>
        <w:t>以及企业</w:t>
      </w:r>
      <w:r>
        <w:rPr>
          <w:rFonts w:hint="eastAsia" w:ascii="仿宋_GB2312" w:hAnsi="仿宋_GB2312" w:eastAsia="仿宋_GB2312" w:cs="仿宋_GB2312"/>
          <w:color w:val="auto"/>
          <w:sz w:val="32"/>
          <w:szCs w:val="32"/>
          <w:u w:val="none"/>
          <w:lang w:eastAsia="zh-CN"/>
        </w:rPr>
        <w:t>生产安全事故应急</w:t>
      </w:r>
      <w:r>
        <w:rPr>
          <w:rFonts w:hint="eastAsia" w:ascii="仿宋_GB2312" w:hAnsi="仿宋_GB2312" w:eastAsia="仿宋_GB2312" w:cs="仿宋_GB2312"/>
          <w:color w:val="auto"/>
          <w:sz w:val="32"/>
          <w:szCs w:val="32"/>
          <w:u w:val="none"/>
          <w:lang w:val="en-US" w:eastAsia="zh-CN"/>
        </w:rPr>
        <w:t>救援</w:t>
      </w:r>
      <w:r>
        <w:rPr>
          <w:rFonts w:hint="eastAsia" w:ascii="仿宋_GB2312" w:hAnsi="仿宋_GB2312" w:eastAsia="仿宋_GB2312" w:cs="仿宋_GB2312"/>
          <w:color w:val="auto"/>
          <w:sz w:val="32"/>
          <w:szCs w:val="32"/>
          <w:u w:val="none"/>
          <w:lang w:eastAsia="zh-CN"/>
        </w:rPr>
        <w:t>预案</w:t>
      </w:r>
      <w:r>
        <w:rPr>
          <w:rFonts w:hint="eastAsia" w:ascii="仿宋_GB2312" w:hAnsi="仿宋_GB2312" w:eastAsia="仿宋_GB2312" w:cs="仿宋_GB2312"/>
          <w:color w:val="auto"/>
          <w:sz w:val="32"/>
          <w:szCs w:val="32"/>
          <w:lang w:val="en-US" w:eastAsia="zh-CN"/>
        </w:rPr>
        <w:t>。</w:t>
      </w:r>
    </w:p>
    <w:p w14:paraId="0CC9BA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color w:val="auto"/>
          <w:sz w:val="32"/>
          <w:szCs w:val="32"/>
        </w:rPr>
      </w:pPr>
      <w:r>
        <w:rPr>
          <w:rFonts w:hint="eastAsia" w:ascii="楷体_GB2312" w:hAnsi="楷体_GB2312" w:eastAsia="楷体_GB2312" w:cs="楷体_GB2312"/>
          <w:b/>
          <w:color w:val="auto"/>
          <w:kern w:val="2"/>
          <w:sz w:val="32"/>
          <w:szCs w:val="32"/>
          <w:lang w:val="en-US" w:eastAsia="zh-CN" w:bidi="ar-SA"/>
        </w:rPr>
        <w:t>（二）</w:t>
      </w:r>
      <w:r>
        <w:rPr>
          <w:rFonts w:hint="eastAsia" w:ascii="楷体_GB2312" w:hAnsi="楷体_GB2312" w:eastAsia="楷体_GB2312" w:cs="楷体_GB2312"/>
          <w:b/>
          <w:color w:val="auto"/>
          <w:sz w:val="32"/>
          <w:szCs w:val="32"/>
        </w:rPr>
        <w:t>事故基本情况</w:t>
      </w:r>
    </w:p>
    <w:p w14:paraId="5B8794B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 年 7 月 31 日，皓丰公司电工钟寿旺计划在压滤车间安装磨机补偿电容控制系统。该作业属于电气特种作业，需严格遵守带电作业规程及电气工作票制度，但皓丰公司未制定专项作业规程，也未要求开具电气维修作业票。作业所需的水泵控制柜由公司提供，设备安装及作业工具由钟寿旺自行安排。</w:t>
      </w:r>
    </w:p>
    <w:p w14:paraId="61431C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经查，死者钟寿旺持有</w:t>
      </w:r>
      <w:r>
        <w:rPr>
          <w:rFonts w:hint="eastAsia" w:ascii="仿宋_GB2312" w:hAnsi="仿宋_GB2312" w:eastAsia="仿宋_GB2312" w:cs="仿宋_GB2312"/>
          <w:sz w:val="32"/>
          <w:szCs w:val="32"/>
        </w:rPr>
        <w:t>低压作业证</w:t>
      </w:r>
      <w:r>
        <w:rPr>
          <w:rFonts w:hint="eastAsia" w:ascii="仿宋_GB2312" w:hAnsi="仿宋_GB2312" w:eastAsia="仿宋_GB2312" w:cs="仿宋_GB2312"/>
          <w:sz w:val="32"/>
          <w:szCs w:val="32"/>
          <w:lang w:val="en-US" w:eastAsia="zh-CN"/>
        </w:rPr>
        <w:t>。</w:t>
      </w:r>
    </w:p>
    <w:p w14:paraId="045A0774">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color w:val="auto"/>
          <w:sz w:val="32"/>
          <w:szCs w:val="32"/>
          <w:lang w:eastAsia="zh-CN"/>
        </w:rPr>
      </w:pPr>
      <w:r>
        <w:rPr>
          <w:rFonts w:hint="eastAsia" w:ascii="楷体_GB2312" w:hAnsi="楷体_GB2312" w:eastAsia="楷体_GB2312" w:cs="楷体_GB2312"/>
          <w:b/>
          <w:color w:val="auto"/>
          <w:sz w:val="32"/>
          <w:szCs w:val="32"/>
          <w:lang w:eastAsia="zh-CN"/>
        </w:rPr>
        <w:t>（三）事故现场勘验情况</w:t>
      </w:r>
    </w:p>
    <w:p w14:paraId="5DC9E33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事故发生地点位于皓丰公司压滤车间内水泵控制柜旁。经现场勘察及视频核实：</w:t>
      </w:r>
    </w:p>
    <w:p w14:paraId="1C29A3D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水泵控制柜内导轨上安装有磨机补偿电容中间继电器，控制线圈一端引自本体电源接线端，另一端引自磨机控制柜；磨机补偿电容位于柜体下端，电容端主线已接好，磨机端主线未接。</w:t>
      </w:r>
    </w:p>
    <w:p w14:paraId="60B83FC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控制柜内设有三个断路器，总开关进出线端母排裸体外露，未标明用途，且断路器安装顺序不规范（总开关在下，分开关在上）。引进控制线、电缆线安装杂乱，电缆通道未封堵，不符合 GB 50171-92《电气装置安装工程盘、柜及二次回路接线施工及验收规范》要求。事故现场未发现电气维修作业票，未配备专职监护人员，水泵控制柜旁未张贴专项操作规程。</w:t>
      </w:r>
    </w:p>
    <w:p w14:paraId="03659E09">
      <w:pPr>
        <w:keepNext w:val="0"/>
        <w:keepLines w:val="0"/>
        <w:pageBreakBefore w:val="0"/>
        <w:widowControl/>
        <w:kinsoku/>
        <w:wordWrap/>
        <w:overflowPunct/>
        <w:topLinePunct w:val="0"/>
        <w:autoSpaceDE/>
        <w:autoSpaceDN/>
        <w:bidi w:val="0"/>
        <w:adjustRightInd/>
        <w:snapToGrid/>
        <w:spacing w:line="72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2592705" cy="3458845"/>
            <wp:effectExtent l="0" t="0" r="17145" b="8255"/>
            <wp:docPr id="5" name="图片 5" descr="电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电柜1"/>
                    <pic:cNvPicPr>
                      <a:picLocks noChangeAspect="1"/>
                    </pic:cNvPicPr>
                  </pic:nvPicPr>
                  <pic:blipFill>
                    <a:blip r:embed="rId6"/>
                    <a:stretch>
                      <a:fillRect/>
                    </a:stretch>
                  </pic:blipFill>
                  <pic:spPr>
                    <a:xfrm>
                      <a:off x="0" y="0"/>
                      <a:ext cx="2592705" cy="3458845"/>
                    </a:xfrm>
                    <a:prstGeom prst="rect">
                      <a:avLst/>
                    </a:prstGeom>
                  </pic:spPr>
                </pic:pic>
              </a:graphicData>
            </a:graphic>
          </wp:inline>
        </w:drawing>
      </w:r>
      <w:r>
        <w:rPr>
          <w:rFonts w:hint="eastAsia" w:ascii="仿宋_GB2312" w:hAnsi="仿宋_GB2312" w:eastAsia="仿宋_GB2312" w:cs="仿宋_GB2312"/>
          <w:sz w:val="32"/>
          <w:szCs w:val="32"/>
          <w:lang w:eastAsia="zh-CN"/>
        </w:rPr>
        <w:drawing>
          <wp:inline distT="0" distB="0" distL="114300" distR="114300">
            <wp:extent cx="2597785" cy="3463925"/>
            <wp:effectExtent l="0" t="0" r="12065" b="3175"/>
            <wp:docPr id="6" name="图片 6" descr="磨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磨机1"/>
                    <pic:cNvPicPr>
                      <a:picLocks noChangeAspect="1"/>
                    </pic:cNvPicPr>
                  </pic:nvPicPr>
                  <pic:blipFill>
                    <a:blip r:embed="rId7"/>
                    <a:stretch>
                      <a:fillRect/>
                    </a:stretch>
                  </pic:blipFill>
                  <pic:spPr>
                    <a:xfrm>
                      <a:off x="0" y="0"/>
                      <a:ext cx="2597785" cy="3463925"/>
                    </a:xfrm>
                    <a:prstGeom prst="rect">
                      <a:avLst/>
                    </a:prstGeom>
                  </pic:spPr>
                </pic:pic>
              </a:graphicData>
            </a:graphic>
          </wp:inline>
        </w:drawing>
      </w:r>
    </w:p>
    <w:p w14:paraId="1C426F11">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kern w:val="2"/>
          <w:sz w:val="32"/>
          <w:szCs w:val="32"/>
          <w:lang w:val="en-US" w:eastAsia="zh-CN" w:bidi="ar-SA"/>
        </w:rPr>
        <w:t>（四）</w:t>
      </w:r>
      <w:r>
        <w:rPr>
          <w:rFonts w:hint="eastAsia" w:ascii="楷体_GB2312" w:hAnsi="楷体_GB2312" w:eastAsia="楷体_GB2312" w:cs="楷体_GB2312"/>
          <w:b/>
          <w:bCs/>
          <w:sz w:val="32"/>
          <w:szCs w:val="32"/>
          <w:lang w:eastAsia="zh-CN"/>
        </w:rPr>
        <w:t>其他情况</w:t>
      </w:r>
    </w:p>
    <w:p w14:paraId="342BE101">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宋体" w:eastAsia="仿宋_GB2312"/>
          <w:sz w:val="32"/>
          <w:lang w:eastAsia="zh-CN"/>
        </w:rPr>
        <w:t>接人社部门转来线索，</w:t>
      </w:r>
      <w:r>
        <w:rPr>
          <w:rFonts w:hint="eastAsia" w:ascii="仿宋_GB2312" w:hAnsi="仿宋_GB2312" w:eastAsia="仿宋_GB2312" w:cs="仿宋_GB2312"/>
          <w:color w:val="auto"/>
          <w:sz w:val="32"/>
          <w:szCs w:val="32"/>
        </w:rPr>
        <w:t>2024年7月31日，龙岩市皓丰科技有限公司电箱维修作业时发生一起触电事故，造成1人死亡</w:t>
      </w:r>
      <w:r>
        <w:rPr>
          <w:rFonts w:hint="eastAsia" w:ascii="仿宋_GB2312" w:hAnsi="仿宋_GB2312" w:eastAsia="仿宋_GB2312" w:cs="仿宋_GB2312"/>
          <w:color w:val="auto"/>
          <w:sz w:val="32"/>
          <w:szCs w:val="32"/>
          <w:lang w:eastAsia="zh-CN"/>
        </w:rPr>
        <w:t>。</w:t>
      </w:r>
      <w:r>
        <w:rPr>
          <w:rFonts w:hint="eastAsia" w:ascii="仿宋_GB2312" w:hAnsi="宋体" w:eastAsia="仿宋_GB2312"/>
          <w:sz w:val="32"/>
          <w:lang w:val="en-US" w:eastAsia="zh-CN"/>
        </w:rPr>
        <w:t>2025年11月6日，受区政府委托成立事故调查组，</w:t>
      </w:r>
      <w:r>
        <w:rPr>
          <w:rFonts w:hint="eastAsia" w:ascii="仿宋_GB2312" w:hAnsi="宋体" w:eastAsia="仿宋_GB2312"/>
          <w:sz w:val="32"/>
          <w:lang w:eastAsia="zh-CN"/>
        </w:rPr>
        <w:t>深入开展事故调查工作。</w:t>
      </w:r>
      <w:r>
        <w:rPr>
          <w:rFonts w:hint="eastAsia" w:ascii="仿宋_GB2312" w:hAnsi="宋体" w:eastAsia="仿宋_GB2312"/>
          <w:sz w:val="32"/>
          <w:lang w:val="en-US" w:eastAsia="zh-CN"/>
        </w:rPr>
        <w:t>2025年12月6日专家组开始撰写技术鉴定报告，</w:t>
      </w:r>
      <w:r>
        <w:rPr>
          <w:rFonts w:hint="eastAsia" w:ascii="仿宋_GB2312" w:hAnsi="宋体" w:eastAsia="仿宋_GB2312"/>
          <w:sz w:val="32"/>
          <w:lang w:eastAsia="zh-CN"/>
        </w:rPr>
        <w:t>由于事故发生距离事故调查组成立已经</w:t>
      </w:r>
      <w:r>
        <w:rPr>
          <w:rFonts w:hint="eastAsia" w:ascii="仿宋_GB2312" w:hAnsi="宋体" w:eastAsia="仿宋_GB2312"/>
          <w:sz w:val="32"/>
          <w:lang w:val="en-US" w:eastAsia="zh-CN"/>
        </w:rPr>
        <w:t>16个月有余，技术鉴定难度加大</w:t>
      </w:r>
      <w:r>
        <w:rPr>
          <w:rFonts w:hint="eastAsia" w:ascii="仿宋_GB2312" w:hAnsi="宋体" w:eastAsia="仿宋_GB2312"/>
          <w:sz w:val="32"/>
          <w:lang w:eastAsia="zh-CN"/>
        </w:rPr>
        <w:t>，技术鉴定组专家</w:t>
      </w:r>
      <w:r>
        <w:rPr>
          <w:rFonts w:hint="eastAsia" w:ascii="仿宋_GB2312" w:hAnsi="宋体" w:eastAsia="仿宋_GB2312"/>
          <w:sz w:val="32"/>
          <w:lang w:val="en-US" w:eastAsia="zh-CN"/>
        </w:rPr>
        <w:t>于2026年4月6日向事故调查组提供了《</w:t>
      </w:r>
      <w:r>
        <w:rPr>
          <w:rFonts w:hint="eastAsia" w:ascii="仿宋_GB2312" w:hAnsi="仿宋_GB2312" w:eastAsia="仿宋_GB2312" w:cs="仿宋_GB2312"/>
          <w:sz w:val="32"/>
          <w:szCs w:val="32"/>
        </w:rPr>
        <w:t>龙岩市皓丰科技有限公司“7・31”一般触电事故技术鉴定报告</w:t>
      </w:r>
      <w:r>
        <w:rPr>
          <w:rFonts w:hint="eastAsia" w:ascii="仿宋_GB2312" w:hAnsi="宋体" w:eastAsia="仿宋_GB2312"/>
          <w:sz w:val="32"/>
          <w:lang w:val="en-US" w:eastAsia="zh-CN"/>
        </w:rPr>
        <w:t>》，</w:t>
      </w:r>
      <w:r>
        <w:rPr>
          <w:rFonts w:hint="eastAsia" w:ascii="仿宋_GB2312" w:hAnsi="宋体" w:eastAsia="仿宋_GB2312"/>
          <w:sz w:val="32"/>
          <w:lang w:eastAsia="zh-CN"/>
        </w:rPr>
        <w:t>根据《生产安全事故报告和调查处理条例》第二十七条规定：技术鉴定所需时间不计入事故调查期限，故调查期限由</w:t>
      </w:r>
      <w:r>
        <w:rPr>
          <w:rFonts w:hint="eastAsia" w:ascii="仿宋_GB2312" w:hAnsi="宋体" w:eastAsia="仿宋_GB2312"/>
          <w:sz w:val="32"/>
          <w:lang w:val="en-US" w:eastAsia="zh-CN"/>
        </w:rPr>
        <w:t>2026年4月6日重新开始计算。</w:t>
      </w:r>
    </w:p>
    <w:p w14:paraId="45FF669A">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color w:val="auto"/>
          <w:sz w:val="32"/>
          <w:szCs w:val="32"/>
        </w:rPr>
      </w:pPr>
      <w:r>
        <w:rPr>
          <w:rFonts w:hint="eastAsia" w:ascii="楷体_GB2312" w:hAnsi="楷体_GB2312" w:eastAsia="楷体_GB2312" w:cs="楷体_GB2312"/>
          <w:b/>
          <w:color w:val="auto"/>
          <w:sz w:val="32"/>
          <w:szCs w:val="32"/>
        </w:rPr>
        <w:t>（</w:t>
      </w:r>
      <w:r>
        <w:rPr>
          <w:rFonts w:hint="eastAsia" w:ascii="楷体_GB2312" w:hAnsi="楷体_GB2312" w:eastAsia="楷体_GB2312" w:cs="楷体_GB2312"/>
          <w:b/>
          <w:color w:val="auto"/>
          <w:sz w:val="32"/>
          <w:szCs w:val="32"/>
          <w:lang w:eastAsia="zh-CN"/>
        </w:rPr>
        <w:t>五</w:t>
      </w:r>
      <w:r>
        <w:rPr>
          <w:rFonts w:hint="eastAsia" w:ascii="楷体_GB2312" w:hAnsi="楷体_GB2312" w:eastAsia="楷体_GB2312" w:cs="楷体_GB2312"/>
          <w:b/>
          <w:color w:val="auto"/>
          <w:sz w:val="32"/>
          <w:szCs w:val="32"/>
        </w:rPr>
        <w:t>）人员伤亡和直接经济损失</w:t>
      </w:r>
    </w:p>
    <w:p w14:paraId="496CD67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本起事故共造成1人死亡，直接经济损失</w:t>
      </w:r>
      <w:r>
        <w:rPr>
          <w:rFonts w:hint="eastAsia" w:ascii="仿宋_GB2312" w:hAnsi="仿宋_GB2312" w:eastAsia="仿宋_GB2312" w:cs="仿宋_GB2312"/>
          <w:sz w:val="32"/>
          <w:szCs w:val="32"/>
          <w:lang w:val="en-US" w:eastAsia="zh-CN"/>
        </w:rPr>
        <w:t>161.95</w:t>
      </w:r>
      <w:r>
        <w:rPr>
          <w:rFonts w:hint="eastAsia" w:ascii="仿宋_GB2312" w:hAnsi="仿宋_GB2312" w:eastAsia="仿宋_GB2312" w:cs="仿宋_GB2312"/>
          <w:sz w:val="32"/>
          <w:szCs w:val="32"/>
        </w:rPr>
        <w:t>万元（含丧葬费、死亡赔偿金等相关费用）。</w:t>
      </w:r>
    </w:p>
    <w:p w14:paraId="2D820A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死者基本情况如下：钟寿旺，男，籍贯：福建省武平县，居民身份证号：352625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417X，皓丰公司电工。</w:t>
      </w:r>
    </w:p>
    <w:p w14:paraId="0FF9559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kern w:val="2"/>
          <w:sz w:val="32"/>
          <w:szCs w:val="32"/>
          <w:lang w:val="en-US" w:eastAsia="zh-CN" w:bidi="ar-SA"/>
        </w:rPr>
        <w:t>二、</w:t>
      </w:r>
      <w:r>
        <w:rPr>
          <w:rFonts w:hint="eastAsia" w:ascii="黑体" w:hAnsi="黑体" w:eastAsia="黑体" w:cs="黑体"/>
          <w:b w:val="0"/>
          <w:bCs/>
          <w:color w:val="auto"/>
          <w:sz w:val="32"/>
          <w:szCs w:val="32"/>
        </w:rPr>
        <w:t>事故发生经过</w:t>
      </w:r>
      <w:bookmarkStart w:id="5" w:name="_GoBack"/>
      <w:bookmarkEnd w:id="5"/>
    </w:p>
    <w:p w14:paraId="32F86E2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7月31日9时43分左右，皓丰公司电工钟寿旺进入压滤车间，计划安装磨机补偿电容控制系统，其头戴安全帽，未戴绝缘手套，未穿绝缘鞋，独自一人在水泵控制柜柜体内上方进行带电作业，无专人监护。9时47分07秒，钟寿旺在安装中间继电器控制线时，右手触及断路器一相母排，左手触及断路器另一相母排或控制柜壳体，引发双手双相或双手单相触电。触电后前5秒，钟寿旺尝试挣脱，后51秒无力动弹，9时48分01秒，在自身重力作用下倒地。</w:t>
      </w:r>
    </w:p>
    <w:p w14:paraId="596967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压滤车间操作工陈文强听到异响后起身查看，发现钟寿旺倒地，立即电话通知公司主要负责人吴志钢。</w:t>
      </w:r>
    </w:p>
    <w:p w14:paraId="3A84F98A">
      <w:pPr>
        <w:keepNext w:val="0"/>
        <w:keepLines w:val="0"/>
        <w:pageBreakBefore w:val="0"/>
        <w:widowControl/>
        <w:kinsoku/>
        <w:wordWrap/>
        <w:overflowPunct/>
        <w:topLinePunct w:val="0"/>
        <w:autoSpaceDE/>
        <w:autoSpaceDN/>
        <w:bidi w:val="0"/>
        <w:adjustRightInd/>
        <w:snapToGrid/>
        <w:spacing w:line="72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130165" cy="2875280"/>
            <wp:effectExtent l="0" t="0" r="0" b="0"/>
            <wp:docPr id="4" name="图片 4" descr="未佩戴绝缘护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佩戴绝缘护具"/>
                    <pic:cNvPicPr>
                      <a:picLocks noChangeAspect="1"/>
                    </pic:cNvPicPr>
                  </pic:nvPicPr>
                  <pic:blipFill>
                    <a:blip r:embed="rId8"/>
                    <a:srcRect l="3882" t="3217" r="3596" b="4582"/>
                    <a:stretch>
                      <a:fillRect/>
                    </a:stretch>
                  </pic:blipFill>
                  <pic:spPr>
                    <a:xfrm>
                      <a:off x="0" y="0"/>
                      <a:ext cx="5130165" cy="2875280"/>
                    </a:xfrm>
                    <a:prstGeom prst="rect">
                      <a:avLst/>
                    </a:prstGeom>
                  </pic:spPr>
                </pic:pic>
              </a:graphicData>
            </a:graphic>
          </wp:inline>
        </w:drawing>
      </w:r>
    </w:p>
    <w:p w14:paraId="0373824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三、事故</w:t>
      </w:r>
      <w:r>
        <w:rPr>
          <w:rFonts w:hint="eastAsia" w:ascii="黑体" w:hAnsi="黑体" w:eastAsia="黑体" w:cs="黑体"/>
          <w:b w:val="0"/>
          <w:bCs/>
          <w:color w:val="auto"/>
          <w:sz w:val="32"/>
          <w:szCs w:val="32"/>
          <w:lang w:eastAsia="zh-CN"/>
        </w:rPr>
        <w:t>救援、</w:t>
      </w:r>
      <w:r>
        <w:rPr>
          <w:rFonts w:hint="eastAsia" w:ascii="黑体" w:hAnsi="黑体" w:eastAsia="黑体" w:cs="黑体"/>
          <w:b w:val="0"/>
          <w:bCs/>
          <w:color w:val="auto"/>
          <w:sz w:val="32"/>
          <w:szCs w:val="32"/>
        </w:rPr>
        <w:t>善后</w:t>
      </w:r>
      <w:r>
        <w:rPr>
          <w:rFonts w:hint="eastAsia" w:ascii="黑体" w:hAnsi="黑体" w:eastAsia="黑体" w:cs="黑体"/>
          <w:b w:val="0"/>
          <w:bCs/>
          <w:color w:val="auto"/>
          <w:sz w:val="32"/>
          <w:szCs w:val="32"/>
          <w:lang w:eastAsia="zh-CN"/>
        </w:rPr>
        <w:t>处置及事故报告</w:t>
      </w:r>
      <w:r>
        <w:rPr>
          <w:rFonts w:hint="eastAsia" w:ascii="黑体" w:hAnsi="黑体" w:eastAsia="黑体" w:cs="黑体"/>
          <w:b w:val="0"/>
          <w:bCs/>
          <w:color w:val="auto"/>
          <w:sz w:val="32"/>
          <w:szCs w:val="32"/>
        </w:rPr>
        <w:t>情况</w:t>
      </w:r>
    </w:p>
    <w:p w14:paraId="21DF6B61">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color w:val="auto"/>
          <w:sz w:val="32"/>
          <w:szCs w:val="32"/>
          <w:lang w:eastAsia="zh-CN"/>
        </w:rPr>
      </w:pPr>
      <w:bookmarkStart w:id="1" w:name="_Toc26831"/>
      <w:bookmarkStart w:id="2" w:name="_Toc8477"/>
      <w:r>
        <w:rPr>
          <w:rFonts w:hint="eastAsia" w:ascii="楷体_GB2312" w:hAnsi="楷体_GB2312" w:eastAsia="楷体_GB2312" w:cs="楷体_GB2312"/>
          <w:b/>
          <w:color w:val="auto"/>
          <w:sz w:val="32"/>
          <w:szCs w:val="32"/>
        </w:rPr>
        <w:t>（一）事故救援</w:t>
      </w:r>
      <w:bookmarkEnd w:id="1"/>
      <w:bookmarkEnd w:id="2"/>
      <w:r>
        <w:rPr>
          <w:rFonts w:hint="eastAsia" w:ascii="楷体_GB2312" w:hAnsi="楷体_GB2312" w:eastAsia="楷体_GB2312" w:cs="楷体_GB2312"/>
          <w:b/>
          <w:color w:val="auto"/>
          <w:sz w:val="32"/>
          <w:szCs w:val="32"/>
          <w:lang w:eastAsia="zh-CN"/>
        </w:rPr>
        <w:t>情况</w:t>
      </w:r>
    </w:p>
    <w:p w14:paraId="1CA6D2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 w:name="_Toc8072"/>
      <w:bookmarkStart w:id="4" w:name="_Toc15524"/>
      <w:r>
        <w:rPr>
          <w:rFonts w:hint="eastAsia" w:ascii="仿宋_GB2312" w:hAnsi="仿宋_GB2312" w:eastAsia="仿宋_GB2312" w:cs="仿宋_GB2312"/>
          <w:sz w:val="32"/>
          <w:szCs w:val="32"/>
        </w:rPr>
        <w:t>9时50分58秒事故发生后，吴志钢携带木质铲柄与副总邱廷彪赶到现场，随后洗矿车间工人洪建升、林桂生到场支援，吴志钢立即拨打120急救电话，并组织现场人员对钟寿旺进行心肺复苏。10时17分，120救护车到达现场，医护人员持续抢救半小时后，于10时47分宣布钟寿旺抢救无效死亡</w:t>
      </w:r>
      <w:r>
        <w:rPr>
          <w:rStyle w:val="17"/>
          <w:rFonts w:hint="eastAsia" w:ascii="仿宋_GB2312" w:hAnsi="仿宋_GB2312" w:eastAsia="仿宋_GB2312" w:cs="仿宋_GB2312"/>
          <w:sz w:val="32"/>
          <w:szCs w:val="32"/>
        </w:rPr>
        <w:footnoteReference w:id="0"/>
      </w:r>
      <w:r>
        <w:rPr>
          <w:rFonts w:hint="eastAsia" w:ascii="仿宋_GB2312" w:hAnsi="仿宋_GB2312" w:eastAsia="仿宋_GB2312" w:cs="仿宋_GB2312"/>
          <w:sz w:val="32"/>
          <w:szCs w:val="32"/>
        </w:rPr>
        <w:t>。11时25分，吴志钢拨打110报警，11时52分铁山派出所民警及法医到达现场。</w:t>
      </w:r>
    </w:p>
    <w:p w14:paraId="7893CE0B">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（二）事故</w:t>
      </w:r>
      <w:r>
        <w:rPr>
          <w:rFonts w:hint="eastAsia" w:ascii="楷体_GB2312" w:hAnsi="楷体_GB2312" w:eastAsia="楷体_GB2312" w:cs="楷体_GB2312"/>
          <w:b/>
          <w:color w:val="auto"/>
          <w:sz w:val="32"/>
          <w:szCs w:val="32"/>
          <w:lang w:eastAsia="zh-CN"/>
        </w:rPr>
        <w:t>报告</w:t>
      </w:r>
      <w:r>
        <w:rPr>
          <w:rFonts w:hint="eastAsia" w:ascii="楷体_GB2312" w:hAnsi="楷体_GB2312" w:eastAsia="楷体_GB2312" w:cs="楷体_GB2312"/>
          <w:b/>
          <w:color w:val="auto"/>
          <w:sz w:val="32"/>
          <w:szCs w:val="32"/>
        </w:rPr>
        <w:t>情况</w:t>
      </w:r>
      <w:bookmarkEnd w:id="3"/>
      <w:bookmarkEnd w:id="4"/>
    </w:p>
    <w:p w14:paraId="3108C6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black"/>
          <w:lang w:val="en-US" w:eastAsia="zh-CN"/>
        </w:rPr>
      </w:pPr>
      <w:r>
        <w:rPr>
          <w:rFonts w:hint="eastAsia" w:ascii="仿宋_GB2312" w:hAnsi="仿宋_GB2312" w:eastAsia="仿宋_GB2312" w:cs="仿宋_GB2312"/>
          <w:sz w:val="32"/>
          <w:szCs w:val="32"/>
        </w:rPr>
        <w:t>2024年7月31日11时30分左右，吴志钢到铁山</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rPr>
        <w:t>企</w:t>
      </w:r>
      <w:r>
        <w:rPr>
          <w:rFonts w:hint="eastAsia" w:ascii="仿宋_GB2312" w:hAnsi="仿宋_GB2312" w:eastAsia="仿宋_GB2312" w:cs="仿宋_GB2312"/>
          <w:sz w:val="32"/>
          <w:szCs w:val="32"/>
          <w:lang w:eastAsia="zh-CN"/>
        </w:rPr>
        <w:t>业服务中心</w:t>
      </w:r>
      <w:r>
        <w:rPr>
          <w:rFonts w:hint="eastAsia" w:ascii="仿宋_GB2312" w:hAnsi="仿宋_GB2312" w:eastAsia="仿宋_GB2312" w:cs="仿宋_GB2312"/>
          <w:sz w:val="32"/>
          <w:szCs w:val="32"/>
        </w:rPr>
        <w:t>口头向工作人员李春美报告事故情况。</w:t>
      </w:r>
      <w:r>
        <w:rPr>
          <w:rFonts w:hint="eastAsia" w:ascii="仿宋_GB2312" w:hAnsi="仿宋_GB2312" w:eastAsia="仿宋_GB2312" w:cs="仿宋_GB2312"/>
          <w:sz w:val="32"/>
          <w:szCs w:val="32"/>
          <w:lang w:eastAsia="zh-CN"/>
        </w:rPr>
        <w:t>李春美向</w:t>
      </w:r>
      <w:r>
        <w:rPr>
          <w:rFonts w:hint="eastAsia" w:ascii="仿宋_GB2312" w:hAnsi="仿宋_GB2312" w:eastAsia="仿宋_GB2312" w:cs="仿宋_GB2312"/>
          <w:sz w:val="32"/>
          <w:szCs w:val="32"/>
        </w:rPr>
        <w:t>企</w:t>
      </w:r>
      <w:r>
        <w:rPr>
          <w:rFonts w:hint="eastAsia" w:ascii="仿宋_GB2312" w:hAnsi="仿宋_GB2312" w:eastAsia="仿宋_GB2312" w:cs="仿宋_GB2312"/>
          <w:sz w:val="32"/>
          <w:szCs w:val="32"/>
          <w:lang w:eastAsia="zh-CN"/>
        </w:rPr>
        <w:t>业服务中心干部</w:t>
      </w:r>
      <w:r>
        <w:rPr>
          <w:rFonts w:hint="eastAsia" w:ascii="仿宋_GB2312" w:hAnsi="仿宋_GB2312" w:eastAsia="仿宋_GB2312" w:cs="仿宋_GB2312"/>
          <w:sz w:val="32"/>
          <w:szCs w:val="32"/>
        </w:rPr>
        <w:t>陈剑明</w:t>
      </w:r>
      <w:r>
        <w:rPr>
          <w:rFonts w:hint="eastAsia" w:ascii="仿宋_GB2312" w:hAnsi="仿宋_GB2312" w:eastAsia="仿宋_GB2312" w:cs="仿宋_GB2312"/>
          <w:sz w:val="32"/>
          <w:szCs w:val="32"/>
          <w:lang w:eastAsia="zh-CN"/>
        </w:rPr>
        <w:t>汇报，陈剑明交代其做好</w:t>
      </w:r>
      <w:r>
        <w:rPr>
          <w:rFonts w:hint="eastAsia" w:ascii="仿宋_GB2312" w:hAnsi="仿宋_GB2312" w:eastAsia="仿宋_GB2312" w:cs="仿宋_GB2312"/>
          <w:sz w:val="32"/>
          <w:szCs w:val="32"/>
        </w:rPr>
        <w:t>上报</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李春美因忙于事故善后及司法调解工作</w:t>
      </w:r>
      <w:r>
        <w:rPr>
          <w:rStyle w:val="17"/>
          <w:rFonts w:hint="eastAsia" w:ascii="仿宋_GB2312" w:hAnsi="仿宋_GB2312" w:eastAsia="仿宋_GB2312" w:cs="仿宋_GB2312"/>
          <w:color w:val="auto"/>
          <w:sz w:val="32"/>
          <w:szCs w:val="32"/>
          <w:highlight w:val="none"/>
          <w:lang w:val="en-US" w:eastAsia="zh-CN"/>
        </w:rPr>
        <w:footnoteReference w:id="1"/>
      </w:r>
      <w:r>
        <w:rPr>
          <w:rFonts w:hint="eastAsia" w:ascii="仿宋_GB2312" w:hAnsi="仿宋_GB2312" w:eastAsia="仿宋_GB2312" w:cs="仿宋_GB2312"/>
          <w:sz w:val="32"/>
          <w:szCs w:val="32"/>
        </w:rPr>
        <w:t>，未按规定</w:t>
      </w:r>
      <w:r>
        <w:rPr>
          <w:rFonts w:hint="eastAsia" w:ascii="仿宋_GB2312" w:hAnsi="仿宋_GB2312" w:eastAsia="仿宋_GB2312" w:cs="仿宋_GB2312"/>
          <w:color w:val="auto"/>
          <w:sz w:val="32"/>
          <w:szCs w:val="32"/>
          <w:highlight w:val="none"/>
          <w:lang w:val="en-US" w:eastAsia="zh-CN"/>
        </w:rPr>
        <w:t>及时向新罗区人民政府及相关部门报告事故情况</w:t>
      </w:r>
      <w:r>
        <w:rPr>
          <w:rStyle w:val="17"/>
          <w:rFonts w:hint="eastAsia" w:ascii="仿宋_GB2312" w:hAnsi="仿宋_GB2312" w:eastAsia="仿宋_GB2312" w:cs="仿宋_GB2312"/>
          <w:color w:val="auto"/>
          <w:sz w:val="32"/>
          <w:szCs w:val="32"/>
          <w:highlight w:val="none"/>
          <w:lang w:val="en-US" w:eastAsia="zh-CN"/>
        </w:rPr>
        <w:footnoteReference w:id="2"/>
      </w:r>
      <w:r>
        <w:rPr>
          <w:rFonts w:hint="eastAsia" w:ascii="仿宋_GB2312" w:hAnsi="仿宋_GB2312" w:eastAsia="仿宋_GB2312" w:cs="仿宋_GB2312"/>
          <w:color w:val="auto"/>
          <w:sz w:val="32"/>
          <w:szCs w:val="32"/>
          <w:highlight w:val="none"/>
          <w:lang w:val="en-US" w:eastAsia="zh-CN"/>
        </w:rPr>
        <w:t>。</w:t>
      </w:r>
    </w:p>
    <w:p w14:paraId="28517891">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w:t>
      </w:r>
      <w:r>
        <w:rPr>
          <w:rFonts w:hint="eastAsia" w:ascii="楷体_GB2312" w:hAnsi="楷体_GB2312" w:eastAsia="楷体_GB2312" w:cs="楷体_GB2312"/>
          <w:b/>
          <w:color w:val="auto"/>
          <w:sz w:val="32"/>
          <w:szCs w:val="32"/>
          <w:lang w:eastAsia="zh-CN"/>
        </w:rPr>
        <w:t>三</w:t>
      </w:r>
      <w:r>
        <w:rPr>
          <w:rFonts w:hint="eastAsia" w:ascii="楷体_GB2312" w:hAnsi="楷体_GB2312" w:eastAsia="楷体_GB2312" w:cs="楷体_GB2312"/>
          <w:b/>
          <w:color w:val="auto"/>
          <w:sz w:val="32"/>
          <w:szCs w:val="32"/>
        </w:rPr>
        <w:t>）事故</w:t>
      </w:r>
      <w:r>
        <w:rPr>
          <w:rFonts w:hint="eastAsia" w:ascii="楷体_GB2312" w:hAnsi="楷体_GB2312" w:eastAsia="楷体_GB2312" w:cs="楷体_GB2312"/>
          <w:b/>
          <w:color w:val="auto"/>
          <w:sz w:val="32"/>
          <w:szCs w:val="32"/>
          <w:lang w:eastAsia="zh-CN"/>
        </w:rPr>
        <w:t>善后处置</w:t>
      </w:r>
      <w:r>
        <w:rPr>
          <w:rFonts w:hint="eastAsia" w:ascii="楷体_GB2312" w:hAnsi="楷体_GB2312" w:eastAsia="楷体_GB2312" w:cs="楷体_GB2312"/>
          <w:b/>
          <w:color w:val="auto"/>
          <w:sz w:val="32"/>
          <w:szCs w:val="32"/>
        </w:rPr>
        <w:t>情况</w:t>
      </w:r>
    </w:p>
    <w:p w14:paraId="03EDDEA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事故发生后，经铁山</w:t>
      </w:r>
      <w:r>
        <w:rPr>
          <w:rFonts w:hint="eastAsia" w:ascii="仿宋_GB2312" w:hAnsi="仿宋_GB2312" w:eastAsia="仿宋_GB2312" w:cs="仿宋_GB2312"/>
          <w:sz w:val="32"/>
          <w:szCs w:val="32"/>
          <w:lang w:eastAsia="zh-CN"/>
        </w:rPr>
        <w:t>街道司法所调解</w:t>
      </w:r>
      <w:r>
        <w:rPr>
          <w:rFonts w:hint="eastAsia" w:ascii="仿宋_GB2312" w:hAnsi="仿宋_GB2312" w:eastAsia="仿宋_GB2312" w:cs="仿宋_GB2312"/>
          <w:sz w:val="32"/>
          <w:szCs w:val="32"/>
        </w:rPr>
        <w:t>协调，皓丰公司与死者家属于2024年8月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日达成善后赔偿协议</w:t>
      </w:r>
      <w:r>
        <w:rPr>
          <w:rFonts w:hint="eastAsia" w:ascii="仿宋_GB2312" w:hAnsi="仿宋_GB2312" w:eastAsia="仿宋_GB2312" w:cs="仿宋_GB2312"/>
          <w:color w:val="auto"/>
          <w:sz w:val="32"/>
          <w:szCs w:val="32"/>
          <w:lang w:val="en-US" w:eastAsia="zh-CN"/>
        </w:rPr>
        <w:t>并签订《人民调解协议书》</w:t>
      </w:r>
      <w:r>
        <w:rPr>
          <w:rFonts w:hint="eastAsia" w:ascii="仿宋_GB2312" w:hAnsi="仿宋_GB2312" w:eastAsia="仿宋_GB2312" w:cs="仿宋_GB2312"/>
          <w:sz w:val="32"/>
          <w:szCs w:val="32"/>
        </w:rPr>
        <w:t>，一次性支付丧葬费、死亡赔偿金等共计</w:t>
      </w:r>
      <w:r>
        <w:rPr>
          <w:rFonts w:hint="eastAsia" w:ascii="仿宋_GB2312" w:hAnsi="仿宋_GB2312" w:eastAsia="仿宋_GB2312" w:cs="仿宋_GB2312"/>
          <w:sz w:val="32"/>
          <w:szCs w:val="32"/>
          <w:lang w:val="en-US" w:eastAsia="zh-CN"/>
        </w:rPr>
        <w:t>161.95</w:t>
      </w:r>
      <w:r>
        <w:rPr>
          <w:rFonts w:hint="eastAsia" w:ascii="仿宋_GB2312" w:hAnsi="仿宋_GB2312" w:eastAsia="仿宋_GB2312" w:cs="仿宋_GB2312"/>
          <w:sz w:val="32"/>
          <w:szCs w:val="32"/>
        </w:rPr>
        <w:t>万元，善后处置工作已妥善完成。</w:t>
      </w:r>
    </w:p>
    <w:p w14:paraId="1CABA10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四、事故原因</w:t>
      </w:r>
      <w:r>
        <w:rPr>
          <w:rFonts w:hint="eastAsia" w:ascii="黑体" w:hAnsi="黑体" w:eastAsia="黑体" w:cs="黑体"/>
          <w:b w:val="0"/>
          <w:bCs/>
          <w:color w:val="auto"/>
          <w:sz w:val="32"/>
          <w:szCs w:val="32"/>
          <w:lang w:eastAsia="zh-CN"/>
        </w:rPr>
        <w:t>分析</w:t>
      </w:r>
    </w:p>
    <w:p w14:paraId="4377E7F9">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lang w:eastAsia="zh-CN"/>
        </w:rPr>
        <w:t>直接原因分析</w:t>
      </w:r>
    </w:p>
    <w:p w14:paraId="11AAF32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因距事故发生已1年有余，现场第一目击者</w:t>
      </w:r>
      <w:r>
        <w:rPr>
          <w:rFonts w:hint="eastAsia" w:ascii="仿宋_GB2312" w:hAnsi="仿宋_GB2312" w:eastAsia="仿宋_GB2312" w:cs="仿宋_GB2312"/>
          <w:sz w:val="32"/>
          <w:szCs w:val="32"/>
        </w:rPr>
        <w:t>压滤车间操作工陈文强</w:t>
      </w:r>
      <w:r>
        <w:rPr>
          <w:rFonts w:hint="eastAsia" w:ascii="仿宋_GB2312" w:hAnsi="仿宋_GB2312" w:eastAsia="仿宋_GB2312" w:cs="仿宋_GB2312"/>
          <w:color w:val="auto"/>
          <w:sz w:val="32"/>
          <w:szCs w:val="32"/>
          <w:lang w:val="en-US" w:eastAsia="zh-CN"/>
        </w:rPr>
        <w:t>已经离职，但根据铁山派出所笔录和现场照片能够清晰还原事故发生经过。</w:t>
      </w:r>
      <w:r>
        <w:rPr>
          <w:rFonts w:hint="eastAsia" w:ascii="仿宋_GB2312" w:hAnsi="仿宋_GB2312" w:eastAsia="仿宋_GB2312" w:cs="仿宋_GB2312"/>
          <w:sz w:val="32"/>
          <w:szCs w:val="32"/>
        </w:rPr>
        <w:t>电工钟寿旺在未佩戴绝缘手套、未穿绝缘鞋的情况下，违规进行带电作业；作业过程中无专人监护，独自操作时双手触及不同相母排或母排与柜体，引发触电事故，导致死亡，是事故发生的直接原因。</w:t>
      </w:r>
    </w:p>
    <w:p w14:paraId="4DFEDD48">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（二）间接原因分析</w:t>
      </w:r>
    </w:p>
    <w:p w14:paraId="16C6695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皓丰</w:t>
      </w:r>
      <w:r>
        <w:rPr>
          <w:rFonts w:hint="eastAsia" w:ascii="仿宋_GB2312" w:hAnsi="仿宋_GB2312" w:eastAsia="仿宋_GB2312" w:cs="仿宋_GB2312"/>
          <w:b/>
          <w:bCs/>
          <w:color w:val="auto"/>
          <w:sz w:val="32"/>
          <w:szCs w:val="32"/>
        </w:rPr>
        <w:t>公司</w:t>
      </w:r>
      <w:r>
        <w:rPr>
          <w:rFonts w:hint="eastAsia" w:ascii="仿宋_GB2312" w:hAnsi="仿宋_GB2312" w:eastAsia="仿宋_GB2312" w:cs="仿宋_GB2312"/>
          <w:b/>
          <w:bCs/>
          <w:color w:val="auto"/>
          <w:sz w:val="32"/>
          <w:szCs w:val="32"/>
          <w:lang w:val="en-US" w:eastAsia="zh-CN"/>
        </w:rPr>
        <w:t>安全管理混乱。</w:t>
      </w:r>
      <w:r>
        <w:rPr>
          <w:rFonts w:hint="eastAsia" w:ascii="仿宋_GB2312" w:hAnsi="仿宋_GB2312" w:eastAsia="仿宋_GB2312" w:cs="仿宋_GB2312"/>
          <w:sz w:val="32"/>
          <w:szCs w:val="32"/>
        </w:rPr>
        <w:t>皓丰公司</w:t>
      </w:r>
      <w:r>
        <w:rPr>
          <w:rFonts w:hint="eastAsia" w:ascii="仿宋_GB2312" w:hAnsi="仿宋_GB2312" w:eastAsia="仿宋_GB2312" w:cs="仿宋_GB2312"/>
          <w:color w:val="000000" w:themeColor="text1"/>
          <w:sz w:val="32"/>
          <w:szCs w:val="32"/>
          <w14:textFill>
            <w14:solidFill>
              <w14:schemeClr w14:val="tx1"/>
            </w14:solidFill>
          </w14:textFill>
        </w:rPr>
        <w:t>安全生产主体责任落实不到位。未制定带电作业规程及电气工作票制度，安全管理制度</w:t>
      </w:r>
      <w:r>
        <w:rPr>
          <w:rFonts w:hint="eastAsia" w:ascii="仿宋_GB2312" w:hAnsi="仿宋_GB2312" w:eastAsia="仿宋_GB2312" w:cs="仿宋_GB2312"/>
          <w:sz w:val="32"/>
          <w:szCs w:val="32"/>
        </w:rPr>
        <w:t>不健全；未按规定监督从业人员佩戴、使用劳动防护用品，作业现场安全监管缺失</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设备安装不符合国家标准（GB50171-92）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水泵控制柜母排裸露、电缆布置杂乱且通道未封堵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；安全教育培训流于形式，三级教育仅进行口头告知，无完整纸质记录，未确保从业人员掌握安全操作技能；日常隐患排查不规范，无定期排查计划，记录材料不完整。</w:t>
      </w:r>
    </w:p>
    <w:p w14:paraId="07A2757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五</w:t>
      </w:r>
      <w:r>
        <w:rPr>
          <w:rFonts w:hint="eastAsia" w:ascii="黑体" w:hAnsi="黑体" w:eastAsia="黑体" w:cs="黑体"/>
          <w:b w:val="0"/>
          <w:bCs/>
          <w:color w:val="auto"/>
          <w:sz w:val="32"/>
          <w:szCs w:val="32"/>
        </w:rPr>
        <w:t>、对事故有关责任人员和责任单位的处理建议</w:t>
      </w:r>
    </w:p>
    <w:p w14:paraId="3959FDBB">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color w:val="auto"/>
          <w:sz w:val="32"/>
          <w:szCs w:val="32"/>
          <w:lang w:val="en-US" w:eastAsia="zh-CN"/>
        </w:rPr>
      </w:pPr>
      <w:r>
        <w:rPr>
          <w:rFonts w:hint="eastAsia" w:ascii="楷体_GB2312" w:hAnsi="楷体_GB2312" w:eastAsia="楷体_GB2312" w:cs="楷体_GB2312"/>
          <w:b/>
          <w:color w:val="auto"/>
          <w:sz w:val="32"/>
          <w:szCs w:val="32"/>
        </w:rPr>
        <w:t>（一）对</w:t>
      </w:r>
      <w:r>
        <w:rPr>
          <w:rFonts w:hint="eastAsia" w:ascii="楷体_GB2312" w:hAnsi="楷体_GB2312" w:eastAsia="楷体_GB2312" w:cs="楷体_GB2312"/>
          <w:b/>
          <w:color w:val="auto"/>
          <w:sz w:val="32"/>
          <w:szCs w:val="32"/>
          <w:lang w:val="en-US" w:eastAsia="zh-CN"/>
        </w:rPr>
        <w:t>事故</w:t>
      </w:r>
      <w:r>
        <w:rPr>
          <w:rFonts w:hint="eastAsia" w:ascii="楷体_GB2312" w:hAnsi="楷体_GB2312" w:eastAsia="楷体_GB2312" w:cs="楷体_GB2312"/>
          <w:b/>
          <w:color w:val="auto"/>
          <w:sz w:val="32"/>
          <w:szCs w:val="32"/>
        </w:rPr>
        <w:t>责任人员的处理建议</w:t>
      </w:r>
    </w:p>
    <w:p w14:paraId="212ED04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钟寿旺，皓丰公司电工。违规进行带电作业，未佩戴绝缘防护用品，作业时无专人监护，对事故发生负有直接责任。鉴于其在事故中死亡，不予追究责任。</w:t>
      </w:r>
    </w:p>
    <w:p w14:paraId="15D8DF8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吴志钢，</w:t>
      </w:r>
      <w:r>
        <w:rPr>
          <w:rFonts w:hint="eastAsia" w:ascii="仿宋_GB2312" w:hAnsi="仿宋_GB2312" w:eastAsia="仿宋_GB2312" w:cs="仿宋_GB2312"/>
          <w:sz w:val="32"/>
          <w:szCs w:val="32"/>
          <w:lang w:eastAsia="zh-CN"/>
        </w:rPr>
        <w:t>非</w:t>
      </w:r>
      <w:r>
        <w:rPr>
          <w:rFonts w:hint="eastAsia" w:ascii="仿宋_GB2312" w:hAnsi="仿宋_GB2312" w:eastAsia="仿宋_GB2312" w:cs="仿宋_GB2312"/>
          <w:color w:val="000000" w:themeColor="text1"/>
          <w:sz w:val="32"/>
          <w:szCs w:val="32"/>
          <w:lang w:eastAsia="zh-CN"/>
          <w14:textFill>
            <w14:solidFill>
              <w14:schemeClr w14:val="tx1"/>
            </w14:solidFill>
          </w14:textFill>
        </w:rPr>
        <w:t>中共党员，</w:t>
      </w:r>
      <w:r>
        <w:rPr>
          <w:rFonts w:hint="eastAsia" w:ascii="仿宋_GB2312" w:hAnsi="仿宋_GB2312" w:eastAsia="仿宋_GB2312" w:cs="仿宋_GB2312"/>
          <w:sz w:val="32"/>
          <w:szCs w:val="32"/>
        </w:rPr>
        <w:t>皓丰公司主要负责人。</w:t>
      </w:r>
      <w:r>
        <w:rPr>
          <w:rFonts w:hint="eastAsia" w:ascii="仿宋_GB2312" w:hAnsi="仿宋_GB2312" w:eastAsia="仿宋_GB2312" w:cs="仿宋_GB2312"/>
          <w:sz w:val="32"/>
          <w:szCs w:val="32"/>
          <w:lang w:eastAsia="zh-CN"/>
        </w:rPr>
        <w:t>企业管理混乱，</w:t>
      </w:r>
      <w:r>
        <w:rPr>
          <w:rFonts w:hint="eastAsia" w:ascii="仿宋_GB2312" w:hAnsi="仿宋_GB2312" w:eastAsia="仿宋_GB2312" w:cs="仿宋_GB2312"/>
          <w:sz w:val="32"/>
          <w:szCs w:val="32"/>
        </w:rPr>
        <w:t>未组织制定带电作业规程和电气工作票制度；未监督从业人员正确使用劳动防护用品；未有效开展隐患排查和安全教育培训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对事故发生负有</w:t>
      </w:r>
      <w:r>
        <w:rPr>
          <w:rFonts w:hint="eastAsia" w:ascii="仿宋_GB2312" w:hAnsi="仿宋_GB2312" w:eastAsia="仿宋_GB2312" w:cs="仿宋_GB2312"/>
          <w:sz w:val="32"/>
          <w:szCs w:val="32"/>
          <w:lang w:eastAsia="zh-CN"/>
        </w:rPr>
        <w:t>重要领导</w:t>
      </w:r>
      <w:r>
        <w:rPr>
          <w:rFonts w:hint="eastAsia" w:ascii="仿宋_GB2312" w:hAnsi="仿宋_GB2312" w:eastAsia="仿宋_GB2312" w:cs="仿宋_GB2312"/>
          <w:sz w:val="32"/>
          <w:szCs w:val="32"/>
        </w:rPr>
        <w:t>责任。</w:t>
      </w:r>
      <w:r>
        <w:rPr>
          <w:rFonts w:hint="eastAsia" w:ascii="仿宋_GB2312" w:hAnsi="仿宋_GB2312" w:eastAsia="仿宋_GB2312" w:cs="仿宋_GB2312"/>
          <w:color w:val="auto"/>
          <w:sz w:val="32"/>
          <w:szCs w:val="32"/>
          <w:lang w:val="en-US" w:eastAsia="zh-CN"/>
        </w:rPr>
        <w:t>其行为违反了</w:t>
      </w:r>
      <w:r>
        <w:rPr>
          <w:rFonts w:hint="eastAsia" w:ascii="仿宋_GB2312" w:hAnsi="仿宋_GB2312" w:eastAsia="仿宋_GB2312" w:cs="仿宋_GB2312"/>
          <w:color w:val="auto"/>
          <w:sz w:val="32"/>
          <w:szCs w:val="32"/>
        </w:rPr>
        <w:t>《中华人民共和国安全生产法》</w:t>
      </w:r>
      <w:r>
        <w:rPr>
          <w:rFonts w:hint="eastAsia" w:ascii="仿宋_GB2312" w:hAnsi="仿宋_GB2312" w:eastAsia="仿宋_GB2312" w:cs="仿宋_GB2312"/>
          <w:color w:val="auto"/>
          <w:sz w:val="32"/>
          <w:szCs w:val="32"/>
          <w:lang w:val="en-US" w:eastAsia="zh-CN"/>
        </w:rPr>
        <w:t>第二十一条</w:t>
      </w:r>
      <w:r>
        <w:rPr>
          <w:rStyle w:val="17"/>
          <w:rFonts w:hint="eastAsia" w:ascii="仿宋_GB2312" w:hAnsi="仿宋_GB2312" w:eastAsia="仿宋_GB2312" w:cs="仿宋_GB2312"/>
          <w:color w:val="auto"/>
          <w:sz w:val="32"/>
          <w:szCs w:val="32"/>
          <w:lang w:val="en-US" w:eastAsia="zh-CN"/>
        </w:rPr>
        <w:footnoteReference w:id="3"/>
      </w:r>
      <w:r>
        <w:rPr>
          <w:rFonts w:hint="eastAsia" w:ascii="仿宋_GB2312" w:hAnsi="仿宋_GB2312" w:eastAsia="仿宋_GB2312" w:cs="仿宋_GB2312"/>
          <w:color w:val="auto"/>
          <w:sz w:val="32"/>
          <w:szCs w:val="32"/>
          <w:lang w:val="en-US" w:eastAsia="zh-CN"/>
        </w:rPr>
        <w:t>第（二）、（三）、（五）项的规定</w:t>
      </w:r>
      <w:r>
        <w:rPr>
          <w:rFonts w:hint="eastAsia" w:ascii="仿宋_GB2312" w:hAnsi="仿宋_GB2312" w:eastAsia="仿宋_GB2312" w:cs="仿宋_GB2312"/>
          <w:sz w:val="32"/>
          <w:szCs w:val="32"/>
        </w:rPr>
        <w:t>建议新罗区应急管理局依据《中华人民共和国安全生产法》第九十</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第一项</w:t>
      </w:r>
      <w:r>
        <w:rPr>
          <w:rStyle w:val="17"/>
          <w:rFonts w:hint="eastAsia" w:ascii="仿宋_GB2312" w:hAnsi="仿宋_GB2312" w:eastAsia="仿宋_GB2312" w:cs="仿宋_GB2312"/>
          <w:sz w:val="32"/>
          <w:szCs w:val="32"/>
        </w:rPr>
        <w:footnoteReference w:id="4"/>
      </w:r>
      <w:r>
        <w:rPr>
          <w:rFonts w:hint="eastAsia" w:ascii="仿宋_GB2312" w:hAnsi="仿宋_GB2312" w:eastAsia="仿宋_GB2312" w:cs="仿宋_GB2312"/>
          <w:sz w:val="32"/>
          <w:szCs w:val="32"/>
        </w:rPr>
        <w:t>对其实施行政处罚。</w:t>
      </w:r>
    </w:p>
    <w:p w14:paraId="2DDE834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张岚，</w:t>
      </w:r>
      <w:r>
        <w:rPr>
          <w:rFonts w:hint="eastAsia" w:ascii="仿宋_GB2312" w:hAnsi="仿宋_GB2312" w:eastAsia="仿宋_GB2312" w:cs="仿宋_GB2312"/>
          <w:sz w:val="32"/>
          <w:szCs w:val="32"/>
          <w:lang w:eastAsia="zh-CN"/>
        </w:rPr>
        <w:t>非</w:t>
      </w:r>
      <w:r>
        <w:rPr>
          <w:rFonts w:hint="eastAsia" w:ascii="仿宋_GB2312" w:hAnsi="仿宋_GB2312" w:eastAsia="仿宋_GB2312" w:cs="仿宋_GB2312"/>
          <w:color w:val="000000" w:themeColor="text1"/>
          <w:sz w:val="32"/>
          <w:szCs w:val="32"/>
          <w:lang w:eastAsia="zh-CN"/>
          <w14:textFill>
            <w14:solidFill>
              <w14:schemeClr w14:val="tx1"/>
            </w14:solidFill>
          </w14:textFill>
        </w:rPr>
        <w:t>中共党员，</w:t>
      </w:r>
      <w:r>
        <w:rPr>
          <w:rFonts w:hint="eastAsia" w:ascii="仿宋_GB2312" w:hAnsi="仿宋_GB2312" w:eastAsia="仿宋_GB2312" w:cs="仿宋_GB2312"/>
          <w:sz w:val="32"/>
          <w:szCs w:val="32"/>
        </w:rPr>
        <w:t>皓丰公司法定代表人。虽为法定代表人，但经调查核实，其自公司成立后未参与企业实际经营管理，已将企业全权委托给主要负责人吴志钢管理，无证据表明其未履行法定安全生产管理职责与事故发生存在直接关联，建议免除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auto"/>
          <w:sz w:val="32"/>
          <w:szCs w:val="32"/>
          <w:lang w:val="en-US" w:eastAsia="zh-CN"/>
        </w:rPr>
        <w:t>皓丰公司</w:t>
      </w:r>
      <w:r>
        <w:rPr>
          <w:rFonts w:hint="eastAsia" w:ascii="仿宋_GB2312" w:hAnsi="仿宋_GB2312" w:eastAsia="仿宋_GB2312" w:cs="仿宋_GB2312"/>
          <w:color w:val="auto"/>
          <w:sz w:val="32"/>
          <w:szCs w:val="32"/>
        </w:rPr>
        <w:t>按照企业内部管理有关规定对其作出严肃处理</w:t>
      </w:r>
      <w:r>
        <w:rPr>
          <w:rFonts w:hint="eastAsia" w:ascii="仿宋_GB2312" w:hAnsi="仿宋_GB2312" w:eastAsia="仿宋_GB2312" w:cs="仿宋_GB2312"/>
          <w:sz w:val="32"/>
          <w:szCs w:val="32"/>
        </w:rPr>
        <w:t>。</w:t>
      </w:r>
    </w:p>
    <w:p w14:paraId="43647FCD">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color w:val="auto"/>
          <w:sz w:val="32"/>
          <w:szCs w:val="32"/>
          <w:lang w:val="en-US" w:eastAsia="zh-CN"/>
        </w:rPr>
      </w:pPr>
      <w:r>
        <w:rPr>
          <w:rFonts w:hint="eastAsia" w:ascii="楷体_GB2312" w:hAnsi="楷体_GB2312" w:eastAsia="楷体_GB2312" w:cs="楷体_GB2312"/>
          <w:b/>
          <w:color w:val="auto"/>
          <w:sz w:val="32"/>
          <w:szCs w:val="32"/>
          <w:lang w:val="en-US" w:eastAsia="zh-CN"/>
        </w:rPr>
        <w:t>（二）对有关公职人员的处理建议</w:t>
      </w:r>
    </w:p>
    <w:p w14:paraId="59B953E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李春美，</w:t>
      </w:r>
      <w:r>
        <w:rPr>
          <w:rFonts w:hint="eastAsia" w:ascii="仿宋_GB2312" w:hAnsi="仿宋_GB2312" w:eastAsia="仿宋_GB2312" w:cs="仿宋_GB2312"/>
          <w:sz w:val="32"/>
          <w:szCs w:val="32"/>
          <w:lang w:eastAsia="zh-CN"/>
        </w:rPr>
        <w:t>非</w:t>
      </w:r>
      <w:r>
        <w:rPr>
          <w:rFonts w:hint="eastAsia" w:ascii="仿宋_GB2312" w:hAnsi="仿宋_GB2312" w:eastAsia="仿宋_GB2312" w:cs="仿宋_GB2312"/>
          <w:color w:val="000000" w:themeColor="text1"/>
          <w:sz w:val="32"/>
          <w:szCs w:val="32"/>
          <w:lang w:eastAsia="zh-CN"/>
          <w14:textFill>
            <w14:solidFill>
              <w14:schemeClr w14:val="tx1"/>
            </w14:solidFill>
          </w14:textFill>
        </w:rPr>
        <w:t>中共党员，</w:t>
      </w:r>
      <w:r>
        <w:rPr>
          <w:rFonts w:hint="eastAsia" w:ascii="仿宋_GB2312" w:hAnsi="仿宋_GB2312" w:eastAsia="仿宋_GB2312" w:cs="仿宋_GB2312"/>
          <w:sz w:val="32"/>
          <w:szCs w:val="32"/>
        </w:rPr>
        <w:t>铁山街道企业服务中心干部，皓丰公司直接监管责任人。未及时发现企业</w:t>
      </w:r>
      <w:r>
        <w:rPr>
          <w:rFonts w:hint="eastAsia" w:ascii="仿宋_GB2312" w:hAnsi="仿宋_GB2312" w:eastAsia="仿宋_GB2312" w:cs="仿宋_GB2312"/>
          <w:color w:val="auto"/>
          <w:sz w:val="32"/>
          <w:szCs w:val="32"/>
          <w:lang w:val="en-US" w:eastAsia="zh-CN"/>
        </w:rPr>
        <w:t>在安全管理、隐患排查、安全教育和</w:t>
      </w:r>
      <w:r>
        <w:rPr>
          <w:rFonts w:hint="eastAsia" w:ascii="仿宋_GB2312" w:hAnsi="仿宋_GB2312" w:eastAsia="仿宋_GB2312" w:cs="仿宋_GB2312"/>
          <w:sz w:val="32"/>
          <w:szCs w:val="32"/>
        </w:rPr>
        <w:t>制度</w:t>
      </w:r>
      <w:r>
        <w:rPr>
          <w:rFonts w:hint="eastAsia" w:ascii="仿宋_GB2312" w:hAnsi="仿宋_GB2312" w:eastAsia="仿宋_GB2312" w:cs="仿宋_GB2312"/>
          <w:sz w:val="32"/>
          <w:szCs w:val="32"/>
          <w:lang w:eastAsia="zh-CN"/>
        </w:rPr>
        <w:t>制定</w:t>
      </w:r>
      <w:r>
        <w:rPr>
          <w:rFonts w:hint="eastAsia" w:ascii="仿宋_GB2312" w:hAnsi="仿宋_GB2312" w:eastAsia="仿宋_GB2312" w:cs="仿宋_GB2312"/>
          <w:color w:val="auto"/>
          <w:sz w:val="32"/>
          <w:szCs w:val="32"/>
          <w:lang w:val="en-US" w:eastAsia="zh-CN"/>
        </w:rPr>
        <w:t>中存在问题。</w:t>
      </w:r>
      <w:r>
        <w:rPr>
          <w:rFonts w:hint="eastAsia" w:ascii="仿宋_GB2312" w:hAnsi="仿宋_GB2312" w:eastAsia="仿宋_GB2312" w:cs="仿宋_GB2312"/>
          <w:sz w:val="32"/>
          <w:szCs w:val="32"/>
        </w:rPr>
        <w:t>事故发生后未按规定上报</w:t>
      </w:r>
      <w:r>
        <w:rPr>
          <w:rStyle w:val="17"/>
          <w:rFonts w:hint="eastAsia" w:ascii="仿宋_GB2312" w:hAnsi="仿宋_GB2312" w:eastAsia="仿宋_GB2312" w:cs="仿宋_GB2312"/>
          <w:sz w:val="32"/>
          <w:szCs w:val="32"/>
        </w:rPr>
        <w:footnoteReference w:id="5"/>
      </w:r>
      <w:r>
        <w:rPr>
          <w:rFonts w:hint="eastAsia" w:ascii="仿宋_GB2312" w:hAnsi="仿宋_GB2312" w:eastAsia="仿宋_GB2312" w:cs="仿宋_GB2312"/>
          <w:sz w:val="32"/>
          <w:szCs w:val="32"/>
        </w:rPr>
        <w:t>，对事故</w:t>
      </w:r>
      <w:r>
        <w:rPr>
          <w:rFonts w:hint="eastAsia" w:ascii="仿宋_GB2312" w:hAnsi="仿宋_GB2312" w:eastAsia="仿宋_GB2312" w:cs="仿宋_GB2312"/>
          <w:sz w:val="32"/>
          <w:szCs w:val="32"/>
          <w:lang w:eastAsia="zh-CN"/>
        </w:rPr>
        <w:t>漏</w:t>
      </w:r>
      <w:r>
        <w:rPr>
          <w:rFonts w:hint="eastAsia" w:ascii="仿宋_GB2312" w:hAnsi="仿宋_GB2312" w:eastAsia="仿宋_GB2312" w:cs="仿宋_GB2312"/>
          <w:sz w:val="32"/>
          <w:szCs w:val="32"/>
        </w:rPr>
        <w:t>报和监管缺失负有直接责任。建议由纪检监察机关进一步处理。</w:t>
      </w:r>
    </w:p>
    <w:p w14:paraId="56F9EDB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000000" w:themeColor="text1"/>
          <w:sz w:val="32"/>
          <w:szCs w:val="32"/>
          <w14:textFill>
            <w14:solidFill>
              <w14:schemeClr w14:val="tx1"/>
            </w14:solidFill>
          </w14:textFill>
        </w:rPr>
        <w:t>陈剑明，</w:t>
      </w:r>
      <w:r>
        <w:rPr>
          <w:rFonts w:hint="eastAsia" w:ascii="仿宋_GB2312" w:hAnsi="仿宋_GB2312" w:eastAsia="仿宋_GB2312" w:cs="仿宋_GB2312"/>
          <w:color w:val="000000" w:themeColor="text1"/>
          <w:sz w:val="32"/>
          <w:szCs w:val="32"/>
          <w:lang w:eastAsia="zh-CN"/>
          <w14:textFill>
            <w14:solidFill>
              <w14:schemeClr w14:val="tx1"/>
            </w14:solidFill>
          </w14:textFill>
        </w:rPr>
        <w:t>中共党员，</w:t>
      </w:r>
      <w:r>
        <w:rPr>
          <w:rFonts w:hint="eastAsia" w:ascii="仿宋_GB2312" w:hAnsi="仿宋_GB2312" w:eastAsia="仿宋_GB2312" w:cs="仿宋_GB2312"/>
          <w:sz w:val="32"/>
          <w:szCs w:val="32"/>
        </w:rPr>
        <w:t>铁山街道企业服务中心干部</w:t>
      </w:r>
      <w:r>
        <w:rPr>
          <w:rFonts w:hint="eastAsia" w:ascii="仿宋_GB2312" w:hAnsi="仿宋_GB2312" w:eastAsia="仿宋_GB2312" w:cs="仿宋_GB2312"/>
          <w:color w:val="000000" w:themeColor="text1"/>
          <w:sz w:val="32"/>
          <w:szCs w:val="32"/>
          <w14:textFill>
            <w14:solidFill>
              <w14:schemeClr w14:val="tx1"/>
            </w14:solidFill>
          </w14:textFill>
        </w:rPr>
        <w:t>，下路</w:t>
      </w:r>
      <w:r>
        <w:rPr>
          <w:rStyle w:val="17"/>
          <w:rFonts w:hint="eastAsia" w:ascii="仿宋_GB2312" w:hAnsi="仿宋_GB2312" w:eastAsia="仿宋_GB2312" w:cs="仿宋_GB2312"/>
          <w:color w:val="000000" w:themeColor="text1"/>
          <w:sz w:val="32"/>
          <w:szCs w:val="32"/>
          <w14:textFill>
            <w14:solidFill>
              <w14:schemeClr w14:val="tx1"/>
            </w14:solidFill>
          </w14:textFill>
        </w:rPr>
        <w:footnoteReference w:id="6"/>
      </w:r>
      <w:r>
        <w:rPr>
          <w:rFonts w:hint="eastAsia" w:ascii="仿宋_GB2312" w:hAnsi="仿宋_GB2312" w:eastAsia="仿宋_GB2312" w:cs="仿宋_GB2312"/>
          <w:color w:val="000000" w:themeColor="text1"/>
          <w:sz w:val="32"/>
          <w:szCs w:val="32"/>
          <w14:textFill>
            <w14:solidFill>
              <w14:schemeClr w14:val="tx1"/>
            </w14:solidFill>
          </w14:textFill>
        </w:rPr>
        <w:t>安全监管牵头人。对辖区企业安全生产检查</w:t>
      </w:r>
      <w:r>
        <w:rPr>
          <w:rFonts w:hint="eastAsia" w:ascii="仿宋_GB2312" w:hAnsi="仿宋_GB2312" w:eastAsia="仿宋_GB2312" w:cs="仿宋_GB2312"/>
          <w:color w:val="000000" w:themeColor="text1"/>
          <w:sz w:val="32"/>
          <w:szCs w:val="32"/>
          <w:lang w:eastAsia="zh-CN"/>
          <w14:textFill>
            <w14:solidFill>
              <w14:schemeClr w14:val="tx1"/>
            </w14:solidFill>
          </w14:textFill>
        </w:rPr>
        <w:t>业务指导</w:t>
      </w:r>
      <w:r>
        <w:rPr>
          <w:rFonts w:hint="eastAsia" w:ascii="仿宋_GB2312" w:hAnsi="仿宋_GB2312" w:eastAsia="仿宋_GB2312" w:cs="仿宋_GB2312"/>
          <w:color w:val="000000" w:themeColor="text1"/>
          <w:sz w:val="32"/>
          <w:szCs w:val="32"/>
          <w14:textFill>
            <w14:solidFill>
              <w14:schemeClr w14:val="tx1"/>
            </w14:solidFill>
          </w14:textFill>
        </w:rPr>
        <w:t>不到位，未跟踪落实</w:t>
      </w:r>
      <w:r>
        <w:rPr>
          <w:rFonts w:hint="eastAsia" w:ascii="仿宋_GB2312" w:hAnsi="仿宋_GB2312" w:eastAsia="仿宋_GB2312" w:cs="仿宋_GB2312"/>
          <w:color w:val="000000" w:themeColor="text1"/>
          <w:sz w:val="32"/>
          <w:szCs w:val="32"/>
          <w:lang w:eastAsia="zh-CN"/>
          <w14:textFill>
            <w14:solidFill>
              <w14:schemeClr w14:val="tx1"/>
            </w14:solidFill>
          </w14:textFill>
        </w:rPr>
        <w:t>李春美的</w:t>
      </w:r>
      <w:r>
        <w:rPr>
          <w:rFonts w:hint="eastAsia" w:ascii="仿宋_GB2312" w:hAnsi="仿宋_GB2312" w:eastAsia="仿宋_GB2312" w:cs="仿宋_GB2312"/>
          <w:color w:val="000000" w:themeColor="text1"/>
          <w:sz w:val="32"/>
          <w:szCs w:val="32"/>
          <w14:textFill>
            <w14:solidFill>
              <w14:schemeClr w14:val="tx1"/>
            </w14:solidFill>
          </w14:textFill>
        </w:rPr>
        <w:t>事故上报工作，负有</w:t>
      </w:r>
      <w:r>
        <w:rPr>
          <w:rFonts w:hint="eastAsia" w:ascii="仿宋_GB2312" w:hAnsi="仿宋_GB2312" w:eastAsia="仿宋_GB2312" w:cs="仿宋_GB2312"/>
          <w:color w:val="000000" w:themeColor="text1"/>
          <w:sz w:val="32"/>
          <w:szCs w:val="32"/>
          <w:lang w:eastAsia="zh-CN"/>
          <w14:textFill>
            <w14:solidFill>
              <w14:schemeClr w14:val="tx1"/>
            </w14:solidFill>
          </w14:textFill>
        </w:rPr>
        <w:t>一定的监管</w:t>
      </w:r>
      <w:r>
        <w:rPr>
          <w:rFonts w:hint="eastAsia" w:ascii="仿宋_GB2312" w:hAnsi="仿宋_GB2312" w:eastAsia="仿宋_GB2312" w:cs="仿宋_GB2312"/>
          <w:color w:val="000000" w:themeColor="text1"/>
          <w:sz w:val="32"/>
          <w:szCs w:val="32"/>
          <w14:textFill>
            <w14:solidFill>
              <w14:schemeClr w14:val="tx1"/>
            </w14:solidFill>
          </w14:textFill>
        </w:rPr>
        <w:t>责任。建议由其</w:t>
      </w:r>
      <w:r>
        <w:rPr>
          <w:rFonts w:hint="eastAsia" w:ascii="仿宋_GB2312" w:hAnsi="仿宋_GB2312" w:eastAsia="仿宋_GB2312" w:cs="仿宋_GB2312"/>
          <w:color w:val="000000" w:themeColor="text1"/>
          <w:sz w:val="32"/>
          <w:szCs w:val="32"/>
          <w:lang w:eastAsia="zh-CN"/>
          <w14:textFill>
            <w14:solidFill>
              <w14:schemeClr w14:val="tx1"/>
            </w14:solidFill>
          </w14:textFill>
        </w:rPr>
        <w:t>向铁山街道和党委作出深刻检讨</w:t>
      </w:r>
      <w:r>
        <w:rPr>
          <w:rFonts w:hint="eastAsia" w:ascii="仿宋_GB2312" w:hAnsi="仿宋_GB2312" w:eastAsia="仿宋_GB2312" w:cs="仿宋_GB2312"/>
          <w:color w:val="000000" w:themeColor="text1"/>
          <w:sz w:val="32"/>
          <w:szCs w:val="32"/>
          <w14:textFill>
            <w14:solidFill>
              <w14:schemeClr w14:val="tx1"/>
            </w14:solidFill>
          </w14:textFill>
        </w:rPr>
        <w:t>。</w:t>
      </w:r>
    </w:p>
    <w:p w14:paraId="3DE5742B">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w:t>
      </w:r>
      <w:r>
        <w:rPr>
          <w:rFonts w:hint="eastAsia" w:ascii="楷体_GB2312" w:hAnsi="楷体_GB2312" w:eastAsia="楷体_GB2312" w:cs="楷体_GB2312"/>
          <w:b/>
          <w:color w:val="auto"/>
          <w:sz w:val="32"/>
          <w:szCs w:val="32"/>
          <w:lang w:eastAsia="zh-CN"/>
        </w:rPr>
        <w:t>三</w:t>
      </w:r>
      <w:r>
        <w:rPr>
          <w:rFonts w:hint="eastAsia" w:ascii="楷体_GB2312" w:hAnsi="楷体_GB2312" w:eastAsia="楷体_GB2312" w:cs="楷体_GB2312"/>
          <w:b/>
          <w:color w:val="auto"/>
          <w:sz w:val="32"/>
          <w:szCs w:val="32"/>
        </w:rPr>
        <w:t>）对有关责任单位的处理建议</w:t>
      </w:r>
    </w:p>
    <w:p w14:paraId="6BE5B25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龙岩市皓丰科技有限公司。安全生产主体责任落实不到位，</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不规范、制度不健全、培训不充分、</w:t>
      </w:r>
      <w:r>
        <w:rPr>
          <w:rFonts w:hint="eastAsia" w:ascii="仿宋_GB2312" w:hAnsi="仿宋_GB2312" w:eastAsia="仿宋_GB2312" w:cs="仿宋_GB2312"/>
          <w:sz w:val="32"/>
          <w:szCs w:val="32"/>
          <w:lang w:eastAsia="zh-CN"/>
        </w:rPr>
        <w:t>检查不到位</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其行为违反了</w:t>
      </w:r>
      <w:r>
        <w:rPr>
          <w:rFonts w:hint="eastAsia" w:ascii="仿宋_GB2312" w:hAnsi="仿宋_GB2312" w:eastAsia="仿宋_GB2312" w:cs="仿宋_GB2312"/>
          <w:color w:val="auto"/>
          <w:sz w:val="32"/>
          <w:szCs w:val="32"/>
        </w:rPr>
        <w:t>《中华人民共和国安全生产法》第四十</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eastAsia="zh-CN"/>
        </w:rPr>
        <w:t>第二款</w:t>
      </w:r>
      <w:r>
        <w:rPr>
          <w:rStyle w:val="17"/>
          <w:rFonts w:hint="eastAsia" w:ascii="仿宋_GB2312" w:hAnsi="仿宋_GB2312" w:eastAsia="仿宋_GB2312" w:cs="仿宋_GB2312"/>
          <w:color w:val="auto"/>
          <w:sz w:val="32"/>
          <w:szCs w:val="32"/>
          <w:lang w:eastAsia="zh-CN"/>
        </w:rPr>
        <w:footnoteReference w:id="7"/>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第四十三条</w:t>
      </w:r>
      <w:r>
        <w:rPr>
          <w:rStyle w:val="17"/>
          <w:rFonts w:hint="eastAsia" w:ascii="仿宋_GB2312" w:hAnsi="仿宋_GB2312" w:eastAsia="仿宋_GB2312" w:cs="仿宋_GB2312"/>
          <w:color w:val="auto"/>
          <w:sz w:val="32"/>
          <w:szCs w:val="32"/>
        </w:rPr>
        <w:footnoteReference w:id="8"/>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第四十四条第一款</w:t>
      </w:r>
      <w:r>
        <w:rPr>
          <w:rStyle w:val="17"/>
          <w:rFonts w:hint="eastAsia" w:ascii="仿宋_GB2312" w:hAnsi="仿宋_GB2312" w:eastAsia="仿宋_GB2312" w:cs="仿宋_GB2312"/>
          <w:color w:val="auto"/>
          <w:sz w:val="32"/>
          <w:szCs w:val="32"/>
          <w:lang w:val="en-US" w:eastAsia="zh-CN"/>
        </w:rPr>
        <w:footnoteReference w:id="9"/>
      </w:r>
      <w:r>
        <w:rPr>
          <w:rFonts w:hint="eastAsia" w:ascii="仿宋_GB2312" w:hAnsi="仿宋_GB2312" w:eastAsia="仿宋_GB2312" w:cs="仿宋_GB2312"/>
          <w:color w:val="auto"/>
          <w:sz w:val="32"/>
          <w:szCs w:val="32"/>
          <w:lang w:val="en-US" w:eastAsia="zh-CN"/>
        </w:rPr>
        <w:t>的规定，</w:t>
      </w:r>
      <w:r>
        <w:rPr>
          <w:rFonts w:hint="eastAsia" w:ascii="仿宋_GB2312" w:hAnsi="仿宋_GB2312" w:eastAsia="仿宋_GB2312" w:cs="仿宋_GB2312"/>
          <w:sz w:val="32"/>
          <w:szCs w:val="32"/>
        </w:rPr>
        <w:t>建议新罗区应急管理局依据</w:t>
      </w:r>
      <w:r>
        <w:rPr>
          <w:rFonts w:hint="eastAsia" w:ascii="仿宋_GB2312" w:hAnsi="仿宋_GB2312" w:eastAsia="仿宋_GB2312" w:cs="仿宋_GB2312"/>
          <w:sz w:val="32"/>
          <w:szCs w:val="32"/>
          <w:lang w:val="en-US" w:eastAsia="zh-CN"/>
        </w:rPr>
        <w:t>《中华人民共和国安全生产法》第一百一十四条第一款</w:t>
      </w:r>
      <w:r>
        <w:rPr>
          <w:rStyle w:val="17"/>
          <w:rFonts w:hint="eastAsia" w:ascii="仿宋_GB2312" w:hAnsi="仿宋_GB2312" w:eastAsia="仿宋_GB2312" w:cs="仿宋_GB2312"/>
          <w:sz w:val="32"/>
          <w:szCs w:val="32"/>
          <w:lang w:val="en-US" w:eastAsia="zh-CN"/>
        </w:rPr>
        <w:footnoteReference w:id="10"/>
      </w:r>
      <w:r>
        <w:rPr>
          <w:rFonts w:hint="eastAsia" w:ascii="仿宋_GB2312" w:hAnsi="仿宋_GB2312" w:eastAsia="仿宋_GB2312" w:cs="仿宋_GB2312"/>
          <w:sz w:val="32"/>
          <w:szCs w:val="32"/>
          <w:lang w:val="en-US" w:eastAsia="zh-CN"/>
        </w:rPr>
        <w:t>第一项和</w:t>
      </w:r>
      <w:r>
        <w:rPr>
          <w:rFonts w:hint="eastAsia" w:ascii="仿宋_GB2312" w:hAnsi="仿宋_GB2312" w:eastAsia="仿宋_GB2312" w:cs="仿宋_GB2312"/>
          <w:sz w:val="32"/>
          <w:szCs w:val="32"/>
        </w:rPr>
        <w:t>《生产安全事故罚款处罚规定》第十四条</w:t>
      </w:r>
      <w:r>
        <w:rPr>
          <w:rFonts w:hint="eastAsia" w:ascii="仿宋_GB2312" w:hAnsi="仿宋_GB2312" w:eastAsia="仿宋_GB2312" w:cs="仿宋_GB2312"/>
          <w:sz w:val="32"/>
          <w:szCs w:val="32"/>
          <w:lang w:eastAsia="zh-CN"/>
        </w:rPr>
        <w:t>第二项</w:t>
      </w:r>
      <w:r>
        <w:rPr>
          <w:rFonts w:hint="eastAsia" w:ascii="仿宋_GB2312" w:hAnsi="仿宋_GB2312" w:eastAsia="仿宋_GB2312" w:cs="仿宋_GB2312"/>
          <w:sz w:val="32"/>
          <w:szCs w:val="32"/>
          <w:vertAlign w:val="superscript"/>
        </w:rPr>
        <w:footnoteReference w:id="11"/>
      </w:r>
      <w:r>
        <w:rPr>
          <w:rFonts w:hint="eastAsia" w:ascii="仿宋_GB2312" w:hAnsi="仿宋_GB2312" w:eastAsia="仿宋_GB2312" w:cs="仿宋_GB2312"/>
          <w:sz w:val="32"/>
          <w:szCs w:val="32"/>
        </w:rPr>
        <w:t>，对其实施行政处罚。</w:t>
      </w:r>
    </w:p>
    <w:p w14:paraId="7A9B9236">
      <w:pPr>
        <w:pStyle w:val="3"/>
        <w:keepNext w:val="0"/>
        <w:keepLines w:val="0"/>
        <w:pageBreakBefore w:val="0"/>
        <w:numPr>
          <w:ilvl w:val="0"/>
          <w:numId w:val="0"/>
        </w:numPr>
        <w:kinsoku/>
        <w:wordWrap/>
        <w:overflowPunct/>
        <w:topLinePunct w:val="0"/>
        <w:autoSpaceDE/>
        <w:autoSpaceDN/>
        <w:bidi w:val="0"/>
        <w:adjustRightInd/>
        <w:snapToGrid/>
        <w:spacing w:before="0" w:beforeAutospacing="0"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铁山街道办事处。未落实属地安全生产监管责任，对辖区企业安全检查不深入，事故报告流程执行不力，</w:t>
      </w:r>
      <w:r>
        <w:rPr>
          <w:rFonts w:hint="eastAsia" w:ascii="仿宋_GB2312" w:hAnsi="仿宋_GB2312" w:eastAsia="仿宋_GB2312" w:cs="仿宋_GB2312"/>
          <w:color w:val="auto"/>
          <w:sz w:val="32"/>
          <w:szCs w:val="32"/>
          <w:lang w:val="en-US" w:eastAsia="zh-CN"/>
        </w:rPr>
        <w:t>违反</w:t>
      </w:r>
      <w:r>
        <w:rPr>
          <w:rFonts w:hint="eastAsia" w:ascii="仿宋_GB2312" w:hAnsi="仿宋_GB2312" w:eastAsia="仿宋_GB2312" w:cs="仿宋_GB2312"/>
          <w:color w:val="auto"/>
          <w:sz w:val="32"/>
          <w:szCs w:val="32"/>
        </w:rPr>
        <w:t>《生产安全事故报告和调查处理条例》第</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eastAsia="zh-CN"/>
        </w:rPr>
        <w:t>第一款</w:t>
      </w:r>
      <w:r>
        <w:rPr>
          <w:rStyle w:val="17"/>
          <w:rFonts w:hint="eastAsia" w:ascii="仿宋_GB2312" w:hAnsi="仿宋_GB2312" w:eastAsia="仿宋_GB2312" w:cs="仿宋_GB2312"/>
          <w:color w:val="auto"/>
          <w:sz w:val="32"/>
          <w:szCs w:val="32"/>
        </w:rPr>
        <w:footnoteReference w:id="12"/>
      </w:r>
      <w:r>
        <w:rPr>
          <w:rFonts w:hint="eastAsia" w:ascii="仿宋_GB2312" w:hAnsi="仿宋_GB2312" w:eastAsia="仿宋_GB2312" w:cs="仿宋_GB2312"/>
          <w:color w:val="auto"/>
          <w:sz w:val="32"/>
          <w:szCs w:val="32"/>
        </w:rPr>
        <w:t>规定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属</w:t>
      </w:r>
      <w:r>
        <w:rPr>
          <w:rFonts w:hint="eastAsia" w:ascii="仿宋_GB2312" w:hAnsi="仿宋_GB2312" w:eastAsia="仿宋_GB2312" w:cs="仿宋_GB2312"/>
          <w:color w:val="auto"/>
          <w:sz w:val="32"/>
          <w:szCs w:val="32"/>
          <w:u w:val="none"/>
          <w:lang w:val="en-US" w:eastAsia="zh-CN"/>
        </w:rPr>
        <w:t>于</w:t>
      </w:r>
      <w:r>
        <w:rPr>
          <w:rFonts w:hint="eastAsia" w:ascii="仿宋_GB2312" w:hAnsi="仿宋_GB2312" w:eastAsia="仿宋_GB2312" w:cs="仿宋_GB2312"/>
          <w:color w:val="auto"/>
          <w:sz w:val="32"/>
          <w:szCs w:val="32"/>
          <w:highlight w:val="none"/>
          <w:u w:val="none"/>
          <w:lang w:val="en-US" w:eastAsia="zh-CN"/>
        </w:rPr>
        <w:t>漏报事故</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lang w:val="en-US" w:eastAsia="zh-CN"/>
        </w:rPr>
        <w:t>建议</w:t>
      </w:r>
      <w:r>
        <w:rPr>
          <w:rFonts w:hint="eastAsia" w:ascii="仿宋_GB2312" w:hAnsi="仿宋_GB2312" w:eastAsia="仿宋_GB2312" w:cs="仿宋_GB2312"/>
          <w:color w:val="auto"/>
          <w:sz w:val="32"/>
          <w:szCs w:val="32"/>
          <w:lang w:eastAsia="zh-CN"/>
        </w:rPr>
        <w:t>其向新罗区人民政府作出深刻书面检讨。</w:t>
      </w:r>
      <w:r>
        <w:rPr>
          <w:rFonts w:hint="eastAsia" w:ascii="仿宋_GB2312" w:hAnsi="仿宋_GB2312" w:eastAsia="仿宋_GB2312" w:cs="仿宋_GB2312"/>
          <w:sz w:val="32"/>
          <w:szCs w:val="32"/>
        </w:rPr>
        <w:t>并限期整改监管漏洞，强化辖区企业安全生产监督管理。</w:t>
      </w:r>
    </w:p>
    <w:p w14:paraId="62C0429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val="0"/>
          <w:color w:val="auto"/>
          <w:sz w:val="32"/>
          <w:szCs w:val="32"/>
        </w:rPr>
      </w:pPr>
      <w:r>
        <w:rPr>
          <w:rFonts w:hint="eastAsia" w:ascii="黑体" w:hAnsi="黑体" w:eastAsia="黑体" w:cs="黑体"/>
          <w:b w:val="0"/>
          <w:bCs/>
          <w:color w:val="auto"/>
          <w:sz w:val="32"/>
          <w:szCs w:val="32"/>
          <w:lang w:eastAsia="zh-CN"/>
        </w:rPr>
        <w:t>六</w:t>
      </w:r>
      <w:r>
        <w:rPr>
          <w:rFonts w:hint="eastAsia" w:ascii="黑体" w:hAnsi="黑体" w:eastAsia="黑体" w:cs="黑体"/>
          <w:b w:val="0"/>
          <w:bCs/>
          <w:color w:val="auto"/>
          <w:sz w:val="32"/>
          <w:szCs w:val="32"/>
        </w:rPr>
        <w:t>、事故防范和整改措施</w:t>
      </w:r>
    </w:p>
    <w:p w14:paraId="194F30B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皓丰公司应深刻吸取事故教训，切实落实安全生产主体责任。一是健全安全生产管理制度和操作规程，重点制定带电作业规程、电气工作票制度，明确作业流程、监护要求和安全措施；二是</w:t>
      </w:r>
      <w:r>
        <w:rPr>
          <w:rFonts w:hint="eastAsia" w:ascii="仿宋_GB2312" w:hAnsi="仿宋_GB2312" w:eastAsia="仿宋_GB2312" w:cs="仿宋_GB2312"/>
          <w:sz w:val="32"/>
          <w:szCs w:val="32"/>
          <w:lang w:eastAsia="zh-CN"/>
        </w:rPr>
        <w:t>加强隐患排查，</w:t>
      </w:r>
      <w:r>
        <w:rPr>
          <w:rFonts w:hint="eastAsia" w:ascii="仿宋_GB2312" w:hAnsi="仿宋_GB2312" w:eastAsia="仿宋_GB2312" w:cs="仿宋_GB2312"/>
          <w:sz w:val="32"/>
          <w:szCs w:val="32"/>
        </w:rPr>
        <w:t>建立定期排查机制，完善隐患排查、整改、复查记录台账</w:t>
      </w:r>
      <w:r>
        <w:rPr>
          <w:rFonts w:hint="eastAsia" w:ascii="仿宋_GB2312" w:hAnsi="仿宋_GB2312" w:eastAsia="仿宋_GB2312" w:cs="仿宋_GB2312"/>
          <w:sz w:val="32"/>
          <w:szCs w:val="32"/>
          <w:lang w:eastAsia="zh-CN"/>
        </w:rPr>
        <w:t>，开展一次全公司的</w:t>
      </w:r>
      <w:r>
        <w:rPr>
          <w:rFonts w:hint="eastAsia" w:ascii="仿宋_GB2312" w:hAnsi="仿宋_GB2312" w:eastAsia="仿宋_GB2312" w:cs="仿宋_GB2312"/>
          <w:sz w:val="32"/>
          <w:szCs w:val="32"/>
        </w:rPr>
        <w:t>电气设备隐患整改，确保设备安全运行；三是加强劳动防护用品管理，为从业人员配备合格的绝缘手套、绝缘鞋等防护用品，监督其按规定佩戴使用；四是强化安全教育培训，规范三级教育流程，做好培训记录存档，确保从业人员掌握安全操作技能和应急处置方法；</w:t>
      </w:r>
      <w:r>
        <w:rPr>
          <w:rFonts w:hint="eastAsia" w:ascii="仿宋_GB2312" w:hAnsi="仿宋_GB2312" w:eastAsia="仿宋_GB2312" w:cs="仿宋_GB2312"/>
          <w:color w:val="000000" w:themeColor="text1"/>
          <w:sz w:val="32"/>
          <w:szCs w:val="32"/>
          <w14:textFill>
            <w14:solidFill>
              <w14:schemeClr w14:val="tx1"/>
            </w14:solidFill>
          </w14:textFill>
        </w:rPr>
        <w:t>五是严格执行生产安全事故报告制度，按规定时限和程序如实上报事故，杜绝迟报、漏报现象。</w:t>
      </w:r>
    </w:p>
    <w:p w14:paraId="159B7DD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铁山街道办事处应落实“党政同责、一岗双责、齐抓共管” 安全生产责任体系。一是加大辖区企业安全监管力度，组织开展电气安全、特种作业等专项检查，重点排查设备隐患、制度健全性、培训落实情况等；二是规范事故报告流程，组织监管人员学习《生产安全事故报告和调查处理条例》，明确报告时限、程序和责任，杜绝迟报、瞒报；三是加强监管人员业务培训，提升隐患识别、监督检查和应急处置能力，明确网格监管职责，强化跟踪落实机制；四是“举一反三”，对辖区内小微企业、特种作业密集企业开展全面排查整治，消除监管盲区。</w:t>
      </w:r>
    </w:p>
    <w:p w14:paraId="3388C17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p>
    <w:p w14:paraId="66F35FD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p>
    <w:p w14:paraId="3AB4DAC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p>
    <w:p w14:paraId="3E07CB9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sz w:val="32"/>
          <w:szCs w:val="32"/>
        </w:rPr>
        <w:t>龙岩市皓丰科技有限公司“7・31”一般触电事故调查组成员名单</w:t>
      </w:r>
    </w:p>
    <w:p w14:paraId="73EE6EC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龙岩市皓丰科技有限公司“7・31”一般触电事故直接经济损失计算统计表</w:t>
      </w:r>
    </w:p>
    <w:p w14:paraId="17D6EDE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龙岩市皓丰科技有限公司“7・31”一般触电事故技术鉴定报告</w:t>
      </w:r>
    </w:p>
    <w:sectPr>
      <w:footerReference r:id="rId4" w:type="default"/>
      <w:footnotePr>
        <w:numFmt w:val="decimalEnclosedCircleChinese"/>
        <w:numRestart w:val="eachPage"/>
      </w:footnotePr>
      <w:pgSz w:w="11906" w:h="16838"/>
      <w:pgMar w:top="1531" w:right="1474" w:bottom="1531" w:left="1474"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F55A9">
    <w:pPr>
      <w:pStyle w:val="6"/>
      <w:jc w:val="both"/>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BD03B">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FBD03B">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147481633"/>
                            <w:showingPlcHdr/>
                          </w:sdtPr>
                          <w:sdtContent>
                            <w:p w14:paraId="29B310C0">
                              <w:pPr>
                                <w:pStyle w:val="6"/>
                                <w:jc w:val="center"/>
                              </w:pPr>
                              <w:r>
                                <w:rPr>
                                  <w:rFonts w:hint="eastAsia"/>
                                  <w:lang w:eastAsia="zh-CN"/>
                                </w:rPr>
                                <w:t xml:space="preserve">     </w:t>
                              </w:r>
                            </w:p>
                          </w:sdtContent>
                        </w:sdt>
                        <w:p w14:paraId="015BA664">
                          <w:pPr>
                            <w:pStyle w:val="3"/>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3SIAc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lrUrdMdweI42UJ00dRlhimBx6wsx1Wre0I3/6uerxF9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ndIgBzwEAAKoDAAAOAAAAAAAAAAEAIAAAAB4BAABkcnMv&#10;ZTJvRG9jLnhtbFBLBQYAAAAABgAGAFkBAABfBQAAAAA=&#10;">
              <v:fill on="f" focussize="0,0"/>
              <v:stroke on="f"/>
              <v:imagedata o:title=""/>
              <o:lock v:ext="edit" aspectratio="f"/>
              <v:textbox inset="0mm,0mm,0mm,0mm" style="mso-fit-shape-to-text:t;">
                <w:txbxContent>
                  <w:sdt>
                    <w:sdtPr>
                      <w:id w:val="147481633"/>
                      <w:showingPlcHdr/>
                    </w:sdtPr>
                    <w:sdtContent>
                      <w:p w14:paraId="29B310C0">
                        <w:pPr>
                          <w:pStyle w:val="6"/>
                          <w:jc w:val="center"/>
                        </w:pPr>
                        <w:r>
                          <w:rPr>
                            <w:rFonts w:hint="eastAsia"/>
                            <w:lang w:eastAsia="zh-CN"/>
                          </w:rPr>
                          <w:t xml:space="preserve">     </w:t>
                        </w:r>
                      </w:p>
                    </w:sdtContent>
                  </w:sdt>
                  <w:p w14:paraId="015BA664">
                    <w:pPr>
                      <w:pStyle w:val="3"/>
                    </w:pPr>
                  </w:p>
                </w:txbxContent>
              </v:textbox>
            </v:shape>
          </w:pict>
        </mc:Fallback>
      </mc:AlternateContent>
    </w:r>
  </w:p>
  <w:p w14:paraId="1F7F832A">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6">
    <w:p>
      <w:r>
        <w:separator/>
      </w:r>
    </w:p>
  </w:footnote>
  <w:footnote w:type="continuationSeparator" w:id="27">
    <w:p>
      <w:r>
        <w:continuationSeparator/>
      </w:r>
    </w:p>
  </w:footnote>
  <w:footnote w:id="0">
    <w:p w14:paraId="72A6712C">
      <w:pPr>
        <w:pStyle w:val="8"/>
        <w:snapToGrid w:val="0"/>
      </w:pPr>
      <w:r>
        <w:rPr>
          <w:rStyle w:val="17"/>
        </w:rPr>
        <w:footnoteRef/>
      </w:r>
      <w:r>
        <w:rPr>
          <w:rFonts w:hint="eastAsia"/>
          <w:sz w:val="18"/>
          <w:szCs w:val="18"/>
          <w:lang w:eastAsia="zh-CN"/>
        </w:rPr>
        <w:t>居民死亡证明</w:t>
      </w:r>
    </w:p>
  </w:footnote>
  <w:footnote w:id="1">
    <w:p w14:paraId="1C18E663">
      <w:pPr>
        <w:pStyle w:val="8"/>
        <w:rPr>
          <w:rFonts w:hint="eastAsia"/>
          <w:sz w:val="18"/>
          <w:szCs w:val="18"/>
          <w:lang w:eastAsia="zh-CN"/>
        </w:rPr>
      </w:pPr>
      <w:r>
        <w:rPr>
          <w:rFonts w:hint="eastAsia"/>
          <w:sz w:val="18"/>
          <w:szCs w:val="18"/>
          <w:lang w:eastAsia="zh-CN"/>
        </w:rPr>
        <w:footnoteRef/>
      </w:r>
      <w:r>
        <w:rPr>
          <w:rFonts w:hint="eastAsia" w:asciiTheme="minorEastAsia" w:hAnsiTheme="minorEastAsia" w:eastAsiaTheme="minorEastAsia" w:cstheme="minorEastAsia"/>
          <w:sz w:val="18"/>
          <w:szCs w:val="18"/>
          <w:lang w:eastAsia="zh-CN"/>
        </w:rPr>
        <w:t>《中共新罗区委办公室</w:t>
      </w:r>
      <w:r>
        <w:rPr>
          <w:rFonts w:hint="eastAsia" w:asciiTheme="minorEastAsia" w:hAnsiTheme="minorEastAsia" w:eastAsiaTheme="minorEastAsia" w:cstheme="minorEastAsia"/>
          <w:sz w:val="18"/>
          <w:szCs w:val="18"/>
          <w:lang w:val="en-US" w:eastAsia="zh-CN"/>
        </w:rPr>
        <w:t xml:space="preserve"> 新罗区人民政府办公室关于强化突发信息处置工作的通知</w:t>
      </w:r>
      <w:r>
        <w:rPr>
          <w:rFonts w:hint="eastAsia" w:asciiTheme="minorEastAsia" w:hAnsiTheme="minorEastAsia" w:eastAsiaTheme="minorEastAsia" w:cstheme="minorEastAsia"/>
          <w:sz w:val="18"/>
          <w:szCs w:val="18"/>
          <w:lang w:eastAsia="zh-CN"/>
        </w:rPr>
        <w:t>》（龙新委办发明电〔</w:t>
      </w:r>
      <w:r>
        <w:rPr>
          <w:rFonts w:hint="eastAsia" w:asciiTheme="minorEastAsia" w:hAnsiTheme="minorEastAsia" w:eastAsiaTheme="minorEastAsia" w:cstheme="minorEastAsia"/>
          <w:sz w:val="18"/>
          <w:szCs w:val="18"/>
          <w:lang w:val="en-US" w:eastAsia="zh-CN"/>
        </w:rPr>
        <w:t>2021</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41号</w:t>
      </w:r>
      <w:r>
        <w:rPr>
          <w:rFonts w:hint="eastAsia" w:asciiTheme="minorEastAsia" w:hAnsiTheme="minorEastAsia" w:eastAsiaTheme="minorEastAsia" w:cstheme="minorEastAsia"/>
          <w:sz w:val="18"/>
          <w:szCs w:val="18"/>
          <w:lang w:eastAsia="zh-CN"/>
        </w:rPr>
        <w:t>）</w:t>
      </w:r>
      <w:r>
        <w:rPr>
          <w:rFonts w:hint="eastAsia"/>
          <w:sz w:val="18"/>
          <w:szCs w:val="18"/>
          <w:lang w:eastAsia="zh-CN"/>
        </w:rPr>
        <w:t xml:space="preserve"> </w:t>
      </w:r>
    </w:p>
  </w:footnote>
  <w:footnote w:id="2">
    <w:p w14:paraId="36123F84">
      <w:pPr>
        <w:widowControl/>
        <w:shd w:val="clear" w:color="auto" w:fill="FFFFFF"/>
        <w:spacing w:line="0" w:lineRule="atLeast"/>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footnoteRef/>
      </w:r>
      <w:r>
        <w:rPr>
          <w:rFonts w:hint="eastAsia" w:asciiTheme="majorEastAsia" w:hAnsiTheme="majorEastAsia" w:eastAsiaTheme="majorEastAsia" w:cstheme="majorEastAsia"/>
          <w:sz w:val="18"/>
          <w:szCs w:val="18"/>
        </w:rPr>
        <w:t>《中华人民共和国安全生产法》第</w:t>
      </w:r>
      <w:r>
        <w:rPr>
          <w:rFonts w:hint="eastAsia" w:asciiTheme="minorEastAsia" w:hAnsiTheme="minorEastAsia" w:eastAsiaTheme="minorEastAsia" w:cstheme="minorEastAsia"/>
          <w:kern w:val="2"/>
          <w:sz w:val="18"/>
          <w:szCs w:val="18"/>
          <w:lang w:val="en-US" w:eastAsia="zh-CN" w:bidi="ar-SA"/>
        </w:rPr>
        <w:t>八十四</w:t>
      </w:r>
      <w:r>
        <w:rPr>
          <w:rFonts w:hint="eastAsia" w:asciiTheme="majorEastAsia" w:hAnsiTheme="majorEastAsia" w:eastAsiaTheme="majorEastAsia" w:cstheme="majorEastAsia"/>
          <w:sz w:val="18"/>
          <w:szCs w:val="18"/>
        </w:rPr>
        <w:t>条</w:t>
      </w:r>
      <w:r>
        <w:rPr>
          <w:rFonts w:hint="eastAsia" w:asciiTheme="majorEastAsia" w:hAnsiTheme="majorEastAsia" w:eastAsiaTheme="majorEastAsia" w:cstheme="majorEastAsia"/>
          <w:sz w:val="18"/>
          <w:szCs w:val="18"/>
          <w:lang w:val="en-US" w:eastAsia="zh-CN"/>
        </w:rPr>
        <w:t>规定</w:t>
      </w:r>
      <w:r>
        <w:rPr>
          <w:rFonts w:hint="eastAsia" w:asciiTheme="minorEastAsia" w:hAnsiTheme="minorEastAsia" w:eastAsiaTheme="minorEastAsia" w:cstheme="minorEastAsia"/>
          <w:kern w:val="2"/>
          <w:sz w:val="18"/>
          <w:szCs w:val="18"/>
          <w:lang w:val="en-US" w:eastAsia="zh-CN" w:bidi="ar-SA"/>
        </w:rPr>
        <w:t>　负有安全生产监督管理职责的部门接到事故报告后，应当立即按照国家有关规定上报事故情况。负有安全生产监督管理职责的部门和有关地方人民政府对事故情况不得隐瞒不报、谎报或者迟报。</w:t>
      </w:r>
    </w:p>
    <w:p w14:paraId="3A9AC99F">
      <w:pPr>
        <w:pStyle w:val="8"/>
        <w:snapToGrid w:val="0"/>
      </w:pPr>
    </w:p>
  </w:footnote>
  <w:footnote w:id="3">
    <w:p w14:paraId="66BC3FF9">
      <w:pPr>
        <w:keepNext w:val="0"/>
        <w:keepLines w:val="0"/>
        <w:pageBreakBefore w:val="0"/>
        <w:widowControl/>
        <w:shd w:val="clear" w:color="auto" w:fill="FFFFFF"/>
        <w:kinsoku/>
        <w:wordWrap/>
        <w:overflowPunct/>
        <w:topLinePunct w:val="0"/>
        <w:bidi w:val="0"/>
        <w:adjustRightInd/>
        <w:spacing w:line="0" w:lineRule="atLeast"/>
        <w:textAlignment w:val="auto"/>
        <w:rPr>
          <w:rFonts w:hint="eastAsia" w:asciiTheme="majorEastAsia" w:hAnsiTheme="majorEastAsia" w:eastAsiaTheme="majorEastAsia" w:cstheme="majorEastAsia"/>
          <w:sz w:val="18"/>
          <w:szCs w:val="18"/>
          <w:lang w:val="en-US" w:eastAsia="zh-CN"/>
        </w:rPr>
      </w:pPr>
      <w:r>
        <w:rPr>
          <w:rStyle w:val="17"/>
        </w:rPr>
        <w:footnoteRef/>
      </w:r>
      <w:r>
        <w:rPr>
          <w:rFonts w:hint="eastAsia" w:asciiTheme="majorEastAsia" w:hAnsiTheme="majorEastAsia" w:eastAsiaTheme="majorEastAsia" w:cstheme="majorEastAsia"/>
          <w:sz w:val="18"/>
          <w:szCs w:val="18"/>
        </w:rPr>
        <w:t>《中华人民共和国安全生产法》第二十一条</w:t>
      </w:r>
      <w:r>
        <w:rPr>
          <w:rFonts w:hint="eastAsia" w:asciiTheme="majorEastAsia" w:hAnsiTheme="majorEastAsia" w:eastAsiaTheme="majorEastAsia" w:cstheme="majorEastAsia"/>
          <w:sz w:val="18"/>
          <w:szCs w:val="18"/>
          <w:lang w:val="en-US" w:eastAsia="zh-CN"/>
        </w:rPr>
        <w:t>规定：生产经营单位的主要负责人对本单位安全生产工作负有下列职责:......</w:t>
      </w:r>
      <w:r>
        <w:rPr>
          <w:rFonts w:hint="eastAsia" w:asciiTheme="majorEastAsia" w:hAnsiTheme="majorEastAsia" w:eastAsiaTheme="majorEastAsia" w:cstheme="majorEastAsia"/>
          <w:kern w:val="2"/>
          <w:sz w:val="18"/>
          <w:szCs w:val="18"/>
          <w:lang w:val="en-US" w:eastAsia="zh-CN" w:bidi="ar-SA"/>
        </w:rPr>
        <w:t>（（二）组织制定并实施本单位安全生产规章制度和操作规程；（三）组织制定并实施本单位安全生产教育和培训计划；（五）组织建立并落实安全风险分级管控和隐患排查治</w:t>
      </w:r>
      <w:r>
        <w:rPr>
          <w:rFonts w:hint="eastAsia" w:asciiTheme="majorEastAsia" w:hAnsiTheme="majorEastAsia" w:eastAsiaTheme="majorEastAsia" w:cstheme="majorEastAsia"/>
          <w:sz w:val="18"/>
          <w:szCs w:val="18"/>
          <w:lang w:val="en-US" w:eastAsia="zh-CN"/>
        </w:rPr>
        <w:t>理双重预防工作机制，督促、检查本单位的安全生产工作，及时消除生产安全事故隐患；......</w:t>
      </w:r>
    </w:p>
  </w:footnote>
  <w:footnote w:id="4">
    <w:p w14:paraId="45A4620E">
      <w:pPr>
        <w:keepNext w:val="0"/>
        <w:keepLines w:val="0"/>
        <w:pageBreakBefore w:val="0"/>
        <w:widowControl/>
        <w:shd w:val="clear" w:color="auto" w:fill="FFFFFF"/>
        <w:kinsoku/>
        <w:wordWrap/>
        <w:overflowPunct/>
        <w:topLinePunct w:val="0"/>
        <w:bidi w:val="0"/>
        <w:adjustRightInd/>
        <w:spacing w:line="0" w:lineRule="atLeast"/>
        <w:textAlignment w:val="auto"/>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Style w:val="17"/>
          <w:rFonts w:hint="eastAsia" w:asciiTheme="majorEastAsia" w:hAnsiTheme="majorEastAsia" w:eastAsiaTheme="majorEastAsia" w:cstheme="majorEastAsia"/>
          <w:color w:val="000000" w:themeColor="text1"/>
          <w:sz w:val="18"/>
          <w:szCs w:val="18"/>
          <w:vertAlign w:val="baseline"/>
          <w14:textFill>
            <w14:solidFill>
              <w14:schemeClr w14:val="tx1"/>
            </w14:solidFill>
          </w14:textFill>
        </w:rPr>
        <w:footnoteRef/>
      </w:r>
      <w:r>
        <w:rPr>
          <w:rFonts w:hint="eastAsia" w:asciiTheme="majorEastAsia" w:hAnsiTheme="majorEastAsia" w:eastAsiaTheme="majorEastAsia" w:cstheme="majorEastAsia"/>
          <w:color w:val="000000" w:themeColor="text1"/>
          <w:sz w:val="18"/>
          <w:szCs w:val="18"/>
          <w:vertAlign w:val="baseline"/>
          <w14:textFill>
            <w14:solidFill>
              <w14:schemeClr w14:val="tx1"/>
            </w14:solidFill>
          </w14:textFill>
        </w:rPr>
        <w:t xml:space="preserve"> </w:t>
      </w:r>
      <w:r>
        <w:rPr>
          <w:rFonts w:hint="eastAsia" w:asciiTheme="majorEastAsia" w:hAnsiTheme="majorEastAsia" w:eastAsiaTheme="majorEastAsia" w:cstheme="majorEastAsia"/>
          <w:sz w:val="18"/>
          <w:szCs w:val="18"/>
        </w:rPr>
        <w:t>《中华人民共和国安全生产法》</w:t>
      </w:r>
      <w:r>
        <w:rPr>
          <w:rFonts w:hint="eastAsia" w:asciiTheme="majorEastAsia" w:hAnsiTheme="majorEastAsia" w:eastAsiaTheme="majorEastAsia" w:cstheme="majorEastAsia"/>
          <w:color w:val="000000" w:themeColor="text1"/>
          <w:kern w:val="0"/>
          <w:sz w:val="18"/>
          <w:szCs w:val="18"/>
          <w14:textFill>
            <w14:solidFill>
              <w14:schemeClr w14:val="tx1"/>
            </w14:solidFill>
          </w14:textFill>
        </w:rPr>
        <w:t>第九十五条</w:t>
      </w:r>
      <w:r>
        <w:rPr>
          <w:rFonts w:hint="eastAsia" w:asciiTheme="majorEastAsia" w:hAnsiTheme="majorEastAsia" w:eastAsiaTheme="majorEastAsia" w:cstheme="majorEastAsia"/>
          <w:color w:val="000000" w:themeColor="text1"/>
          <w:kern w:val="0"/>
          <w:sz w:val="18"/>
          <w:szCs w:val="18"/>
          <w:lang w:eastAsia="zh-CN"/>
          <w14:textFill>
            <w14:solidFill>
              <w14:schemeClr w14:val="tx1"/>
            </w14:solidFill>
          </w14:textFill>
        </w:rPr>
        <w:t>规定：</w:t>
      </w:r>
      <w:r>
        <w:rPr>
          <w:rFonts w:hint="eastAsia" w:asciiTheme="majorEastAsia" w:hAnsiTheme="majorEastAsia" w:eastAsiaTheme="majorEastAsia" w:cstheme="majorEastAsia"/>
          <w:color w:val="000000" w:themeColor="text1"/>
          <w:kern w:val="0"/>
          <w:sz w:val="18"/>
          <w:szCs w:val="18"/>
          <w14:textFill>
            <w14:solidFill>
              <w14:schemeClr w14:val="tx1"/>
            </w14:solidFill>
          </w14:textFill>
        </w:rPr>
        <w:t>生产经营单位的主要负责人未履行本法规定的安全生产管理职责，导致发生生产安全事故的，由应急管理部门依照下列规定处以罚款:（一）发生一般事故的，处上一年年收入百分之四十的罚款；</w:t>
      </w:r>
    </w:p>
  </w:footnote>
  <w:footnote w:id="5">
    <w:p w14:paraId="280A4AA2">
      <w:pPr>
        <w:pStyle w:val="8"/>
        <w:pageBreakBefore w:val="0"/>
        <w:widowControl/>
        <w:kinsoku/>
        <w:wordWrap/>
        <w:overflowPunct/>
        <w:topLinePunct w:val="0"/>
        <w:bidi w:val="0"/>
        <w:adjustRightInd/>
        <w:snapToGrid w:val="0"/>
        <w:spacing w:line="240" w:lineRule="atLeast"/>
        <w:textAlignment w:val="auto"/>
        <w:rPr>
          <w:rFonts w:hint="eastAsia" w:asciiTheme="majorEastAsia" w:hAnsiTheme="majorEastAsia" w:eastAsiaTheme="majorEastAsia" w:cstheme="majorEastAsia"/>
          <w:sz w:val="18"/>
          <w:szCs w:val="18"/>
          <w:vertAlign w:val="baseline"/>
        </w:rPr>
      </w:pPr>
      <w:r>
        <w:rPr>
          <w:rStyle w:val="17"/>
          <w:rFonts w:hint="eastAsia" w:asciiTheme="majorEastAsia" w:hAnsiTheme="majorEastAsia" w:eastAsiaTheme="majorEastAsia" w:cstheme="majorEastAsia"/>
          <w:sz w:val="18"/>
          <w:szCs w:val="18"/>
          <w:vertAlign w:val="baseline"/>
        </w:rPr>
        <w:footnoteRef/>
      </w:r>
      <w:r>
        <w:rPr>
          <w:rFonts w:hint="eastAsia" w:asciiTheme="majorEastAsia" w:hAnsiTheme="majorEastAsia" w:eastAsiaTheme="majorEastAsia" w:cstheme="majorEastAsia"/>
          <w:sz w:val="18"/>
          <w:szCs w:val="18"/>
          <w:vertAlign w:val="baseline"/>
        </w:rPr>
        <w:t>《生产安全事故报告和调查处理条例》第</w:t>
      </w:r>
      <w:r>
        <w:rPr>
          <w:rFonts w:hint="eastAsia" w:asciiTheme="majorEastAsia" w:hAnsiTheme="majorEastAsia" w:eastAsiaTheme="majorEastAsia" w:cstheme="majorEastAsia"/>
          <w:sz w:val="18"/>
          <w:szCs w:val="18"/>
          <w:vertAlign w:val="baseline"/>
          <w:lang w:eastAsia="zh-CN"/>
        </w:rPr>
        <w:t>四</w:t>
      </w:r>
      <w:r>
        <w:rPr>
          <w:rFonts w:hint="eastAsia" w:asciiTheme="majorEastAsia" w:hAnsiTheme="majorEastAsia" w:eastAsiaTheme="majorEastAsia" w:cstheme="majorEastAsia"/>
          <w:sz w:val="18"/>
          <w:szCs w:val="18"/>
          <w:vertAlign w:val="baseline"/>
        </w:rPr>
        <w:t>条</w:t>
      </w:r>
      <w:r>
        <w:rPr>
          <w:rFonts w:hint="eastAsia" w:asciiTheme="majorEastAsia" w:hAnsiTheme="majorEastAsia" w:eastAsiaTheme="majorEastAsia" w:cstheme="majorEastAsia"/>
          <w:sz w:val="18"/>
          <w:szCs w:val="18"/>
          <w:vertAlign w:val="baseline"/>
          <w:lang w:eastAsia="zh-CN"/>
        </w:rPr>
        <w:t>第一款规定：事故报告应当及时、准确、完整，任何单位和个人对事故不得迟报、漏报、谎报或者瞒报。</w:t>
      </w:r>
    </w:p>
  </w:footnote>
  <w:footnote w:id="6">
    <w:p w14:paraId="7BCAC15F">
      <w:pPr>
        <w:pStyle w:val="8"/>
        <w:snapToGrid w:val="0"/>
        <w:rPr>
          <w:rFonts w:hint="eastAsia" w:asciiTheme="majorEastAsia" w:hAnsiTheme="majorEastAsia" w:eastAsiaTheme="majorEastAsia" w:cstheme="majorEastAsia"/>
          <w:color w:val="000000" w:themeColor="text1"/>
          <w:kern w:val="0"/>
          <w:sz w:val="18"/>
          <w:szCs w:val="18"/>
          <w:lang w:val="en-US" w:eastAsia="zh-CN" w:bidi="ar-SA"/>
          <w14:textFill>
            <w14:solidFill>
              <w14:schemeClr w14:val="tx1"/>
            </w14:solidFill>
          </w14:textFill>
        </w:rPr>
      </w:pPr>
      <w:r>
        <w:rPr>
          <w:rStyle w:val="17"/>
        </w:rPr>
        <w:footnoteRef/>
      </w:r>
      <w:r>
        <w:t xml:space="preserve"> </w:t>
      </w:r>
      <w:r>
        <w:rPr>
          <w:rFonts w:hint="eastAsia"/>
          <w:lang w:eastAsia="zh-CN"/>
        </w:rPr>
        <w:t>下路：以</w:t>
      </w:r>
      <w:r>
        <w:rPr>
          <w:rFonts w:hint="eastAsia" w:asciiTheme="majorEastAsia" w:hAnsiTheme="majorEastAsia" w:eastAsiaTheme="majorEastAsia" w:cstheme="majorEastAsia"/>
          <w:color w:val="000000" w:themeColor="text1"/>
          <w:kern w:val="0"/>
          <w:sz w:val="18"/>
          <w:szCs w:val="18"/>
          <w:lang w:val="en-US" w:eastAsia="zh-CN" w:bidi="ar-SA"/>
          <w14:textFill>
            <w14:solidFill>
              <w14:schemeClr w14:val="tx1"/>
            </w14:solidFill>
          </w14:textFill>
        </w:rPr>
        <w:t>街道办事处为界，分为上下路（上下片网格）。</w:t>
      </w:r>
    </w:p>
  </w:footnote>
  <w:footnote w:id="7">
    <w:p w14:paraId="28DFD333">
      <w:pPr>
        <w:pageBreakBefore w:val="0"/>
        <w:widowControl/>
        <w:shd w:val="clear" w:color="auto" w:fill="FFFFFF"/>
        <w:kinsoku/>
        <w:wordWrap/>
        <w:overflowPunct/>
        <w:topLinePunct w:val="0"/>
        <w:bidi w:val="0"/>
        <w:adjustRightInd/>
        <w:spacing w:line="240" w:lineRule="atLeast"/>
        <w:textAlignment w:val="auto"/>
        <w:rPr>
          <w:rFonts w:hint="eastAsia" w:asciiTheme="majorEastAsia" w:hAnsiTheme="majorEastAsia" w:eastAsiaTheme="majorEastAsia" w:cstheme="majorEastAsia"/>
          <w:sz w:val="18"/>
          <w:szCs w:val="18"/>
          <w:vertAlign w:val="baseline"/>
          <w:lang w:val="en-US" w:eastAsia="zh-CN"/>
        </w:rPr>
      </w:pPr>
      <w:r>
        <w:rPr>
          <w:rStyle w:val="17"/>
          <w:rFonts w:hint="eastAsia" w:asciiTheme="majorEastAsia" w:hAnsiTheme="majorEastAsia" w:eastAsiaTheme="majorEastAsia" w:cstheme="majorEastAsia"/>
          <w:sz w:val="18"/>
          <w:szCs w:val="18"/>
          <w:vertAlign w:val="baseline"/>
        </w:rPr>
        <w:footnoteRef/>
      </w:r>
      <w:r>
        <w:rPr>
          <w:rFonts w:hint="eastAsia" w:asciiTheme="majorEastAsia" w:hAnsiTheme="majorEastAsia" w:eastAsiaTheme="majorEastAsia" w:cstheme="majorEastAsia"/>
          <w:sz w:val="18"/>
          <w:szCs w:val="18"/>
          <w:vertAlign w:val="baseline"/>
          <w:lang w:val="en-US" w:eastAsia="zh-CN"/>
        </w:rPr>
        <w:t>《中华人民共和国安全生产法》第四十一条规定：生产经营单位应当建立安全风险分级管控制度，按照安全风险分级采取相应的管控措施。生产经营单位应当建立健全并落实生产安全事故隐患排查治理制度，采取技术、管理措施，及时发现并消除事故隐患......</w:t>
      </w:r>
    </w:p>
  </w:footnote>
  <w:footnote w:id="8">
    <w:p w14:paraId="3FD8903D">
      <w:pPr>
        <w:pStyle w:val="8"/>
        <w:keepNext/>
        <w:keepLines/>
        <w:pageBreakBefore w:val="0"/>
        <w:widowControl/>
        <w:kinsoku/>
        <w:wordWrap/>
        <w:overflowPunct/>
        <w:topLinePunct w:val="0"/>
        <w:bidi w:val="0"/>
        <w:adjustRightInd/>
        <w:snapToGrid w:val="0"/>
        <w:spacing w:line="240" w:lineRule="atLeast"/>
        <w:textAlignment w:val="auto"/>
        <w:rPr>
          <w:rFonts w:hint="eastAsia"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footnoteRef/>
      </w:r>
      <w:r>
        <w:rPr>
          <w:rFonts w:hint="eastAsia" w:asciiTheme="majorEastAsia" w:hAnsiTheme="majorEastAsia" w:eastAsiaTheme="majorEastAsia" w:cstheme="majorEastAsia"/>
          <w:sz w:val="18"/>
          <w:szCs w:val="18"/>
          <w:vertAlign w:val="baseline"/>
          <w:lang w:val="en-US" w:eastAsia="zh-CN"/>
        </w:rPr>
        <w:t>《中华人民共和国安全生产法》第四十三条规定：生产经营单位进行爆破、吊装、动火、临时用电以及国务院应急管理部门会同国务院有关部门规定的其他危险作业，应当安排专门人员进行现场安全管理，确保操作规程的遵守和安全措施的落实。</w:t>
      </w:r>
    </w:p>
  </w:footnote>
  <w:footnote w:id="9">
    <w:p w14:paraId="2C1959B6">
      <w:pPr>
        <w:pStyle w:val="8"/>
        <w:keepNext/>
        <w:keepLines/>
        <w:pageBreakBefore w:val="0"/>
        <w:widowControl/>
        <w:kinsoku/>
        <w:wordWrap/>
        <w:overflowPunct/>
        <w:topLinePunct w:val="0"/>
        <w:bidi w:val="0"/>
        <w:adjustRightInd/>
        <w:snapToGrid w:val="0"/>
        <w:spacing w:line="200" w:lineRule="atLeast"/>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footnoteRef/>
      </w:r>
      <w:r>
        <w:rPr>
          <w:rFonts w:hint="eastAsia" w:asciiTheme="minorEastAsia" w:hAnsiTheme="minorEastAsia" w:eastAsiaTheme="minorEastAsia" w:cstheme="minorEastAsia"/>
          <w:sz w:val="18"/>
          <w:szCs w:val="18"/>
        </w:rPr>
        <w:t>《中华人民共和国安全生产法》第四十四条第一款</w:t>
      </w:r>
      <w:r>
        <w:rPr>
          <w:rFonts w:hint="eastAsia" w:asciiTheme="minorEastAsia" w:hAnsiTheme="minorEastAsia" w:eastAsiaTheme="minorEastAsia" w:cstheme="minorEastAsia"/>
          <w:sz w:val="18"/>
          <w:szCs w:val="18"/>
          <w:lang w:val="en-US" w:eastAsia="zh-CN"/>
        </w:rPr>
        <w:t>规定：生产经营单位应当教育和督促从业人员严格执行本单位的安全生产规章制度和安全操作规程；并向从业人员如实告知作业场所和工作岗位存在的危险因素、防范措施以及事故应急措施。</w:t>
      </w:r>
    </w:p>
  </w:footnote>
  <w:footnote w:id="10">
    <w:p w14:paraId="4AB518E7">
      <w:pPr>
        <w:pageBreakBefore w:val="0"/>
        <w:widowControl/>
        <w:shd w:val="clear" w:color="auto" w:fill="FFFFFF"/>
        <w:kinsoku/>
        <w:wordWrap/>
        <w:overflowPunct/>
        <w:topLinePunct w:val="0"/>
        <w:bidi w:val="0"/>
        <w:adjustRightInd/>
        <w:spacing w:line="200" w:lineRule="atLeas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footnoteRef/>
      </w:r>
      <w:r>
        <w:rPr>
          <w:rFonts w:hint="eastAsia" w:asciiTheme="minorEastAsia" w:hAnsiTheme="minorEastAsia" w:eastAsiaTheme="minorEastAsia" w:cstheme="minorEastAsia"/>
          <w:kern w:val="2"/>
          <w:sz w:val="18"/>
          <w:szCs w:val="18"/>
          <w:lang w:val="en-US" w:eastAsia="zh-CN" w:bidi="ar-SA"/>
        </w:rPr>
        <w:t>《中华人民共和国安全生产法》第一百一十四条规定：发生生产安全事故，对负有责任的生产经营单位除要求其依法承担相应的赔偿等责任外，由应急管理部门依照下列规定处以罚款:（一）发生一般事故的，处三十万元以上一百万元以下的罚款；</w:t>
      </w:r>
    </w:p>
  </w:footnote>
  <w:footnote w:id="11">
    <w:p w14:paraId="3E846FCF">
      <w:pPr>
        <w:pStyle w:val="9"/>
        <w:keepNext w:val="0"/>
        <w:keepLines w:val="0"/>
        <w:pageBreakBefore w:val="0"/>
        <w:widowControl/>
        <w:shd w:val="clear" w:color="auto" w:fill="FFFFFF"/>
        <w:kinsoku/>
        <w:wordWrap/>
        <w:overflowPunct/>
        <w:topLinePunct w:val="0"/>
        <w:bidi w:val="0"/>
        <w:adjustRightInd/>
        <w:spacing w:before="0" w:beforeAutospacing="0" w:after="0" w:afterAutospacing="0" w:line="200" w:lineRule="atLeast"/>
        <w:ind w:firstLine="0"/>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footnoteRef/>
      </w:r>
      <w:r>
        <w:rPr>
          <w:rFonts w:hint="eastAsia" w:asciiTheme="minorEastAsia" w:hAnsiTheme="minorEastAsia" w:eastAsiaTheme="minorEastAsia" w:cstheme="minorEastAsia"/>
          <w:sz w:val="18"/>
          <w:szCs w:val="18"/>
        </w:rPr>
        <w:t>《生产安全事故罚款处罚规定》第十四条</w:t>
      </w:r>
      <w:r>
        <w:rPr>
          <w:rFonts w:hint="eastAsia" w:asciiTheme="minorEastAsia" w:hAnsiTheme="minorEastAsia" w:eastAsiaTheme="minorEastAsia" w:cstheme="minorEastAsia"/>
          <w:sz w:val="18"/>
          <w:szCs w:val="18"/>
          <w:lang w:eastAsia="zh-CN"/>
        </w:rPr>
        <w:t>第二项规定：</w:t>
      </w:r>
      <w:r>
        <w:rPr>
          <w:rFonts w:hint="eastAsia" w:asciiTheme="minorEastAsia" w:hAnsiTheme="minorEastAsia" w:eastAsiaTheme="minorEastAsia" w:cstheme="minorEastAsia"/>
          <w:kern w:val="2"/>
          <w:sz w:val="18"/>
          <w:szCs w:val="18"/>
          <w:lang w:val="en-US" w:eastAsia="zh-CN" w:bidi="ar-SA"/>
        </w:rPr>
        <w:t>事故发生单位对一般事故负有责任的，依照下列规定处以罚款：</w:t>
      </w:r>
    </w:p>
    <w:p w14:paraId="5EBDB77B">
      <w:pPr>
        <w:pStyle w:val="9"/>
        <w:keepNext w:val="0"/>
        <w:keepLines w:val="0"/>
        <w:pageBreakBefore w:val="0"/>
        <w:widowControl/>
        <w:shd w:val="clear" w:color="auto" w:fill="FFFFFF"/>
        <w:kinsoku/>
        <w:wordWrap/>
        <w:overflowPunct/>
        <w:topLinePunct w:val="0"/>
        <w:bidi w:val="0"/>
        <w:adjustRightInd/>
        <w:spacing w:before="0" w:beforeAutospacing="0" w:after="0" w:afterAutospacing="0" w:line="200" w:lineRule="atLeast"/>
        <w:ind w:firstLine="0"/>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2"/>
          <w:sz w:val="18"/>
          <w:szCs w:val="18"/>
          <w:lang w:val="en-US" w:eastAsia="zh-CN" w:bidi="ar-SA"/>
        </w:rPr>
        <w:t>（二）造成1人死亡，或者3人以上6人以下重伤，或者300万元以上500万元以下直接经济损失的，处50万元以上70万元以下的罚款；</w:t>
      </w:r>
    </w:p>
  </w:footnote>
  <w:footnote w:id="12">
    <w:p w14:paraId="6DA8F300">
      <w:pPr>
        <w:pStyle w:val="8"/>
        <w:keepNext w:val="0"/>
        <w:keepLines w:val="0"/>
        <w:pageBreakBefore w:val="0"/>
        <w:widowControl/>
        <w:kinsoku/>
        <w:wordWrap/>
        <w:overflowPunct/>
        <w:topLinePunct w:val="0"/>
        <w:bidi w:val="0"/>
        <w:adjustRightInd/>
        <w:snapToGrid w:val="0"/>
        <w:spacing w:line="200" w:lineRule="atLeast"/>
        <w:ind w:firstLine="0"/>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footnoteRef/>
      </w:r>
      <w:r>
        <w:rPr>
          <w:rFonts w:hint="eastAsia" w:asciiTheme="minorEastAsia" w:hAnsiTheme="minorEastAsia" w:eastAsiaTheme="minorEastAsia" w:cstheme="minorEastAsia"/>
          <w:sz w:val="18"/>
          <w:szCs w:val="18"/>
        </w:rPr>
        <w:t>《生产安全事故报告和调查处理条例》第</w:t>
      </w:r>
      <w:r>
        <w:rPr>
          <w:rFonts w:hint="eastAsia" w:asciiTheme="minorEastAsia" w:hAnsiTheme="minorEastAsia" w:eastAsiaTheme="minorEastAsia" w:cstheme="minorEastAsia"/>
          <w:sz w:val="18"/>
          <w:szCs w:val="18"/>
          <w:lang w:eastAsia="zh-CN"/>
        </w:rPr>
        <w:t>四</w:t>
      </w:r>
      <w:r>
        <w:rPr>
          <w:rFonts w:hint="eastAsia" w:asciiTheme="minorEastAsia" w:hAnsiTheme="minorEastAsia" w:eastAsiaTheme="minorEastAsia" w:cstheme="minorEastAsia"/>
          <w:sz w:val="18"/>
          <w:szCs w:val="18"/>
        </w:rPr>
        <w:t>条</w:t>
      </w:r>
      <w:r>
        <w:rPr>
          <w:rFonts w:hint="eastAsia" w:asciiTheme="minorEastAsia" w:hAnsiTheme="minorEastAsia" w:eastAsiaTheme="minorEastAsia" w:cstheme="minorEastAsia"/>
          <w:sz w:val="18"/>
          <w:szCs w:val="18"/>
          <w:lang w:eastAsia="zh-CN"/>
        </w:rPr>
        <w:t>第一款规定：事故报告应当及时、准确、完整，任何单位和个人对事故不得迟报、漏报、谎报或者瞒报。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footnotePr>
    <w:numFmt w:val="decimalEnclosedCircleChinese"/>
    <w:numRestart w:val="eachPage"/>
    <w:footnote w:id="26"/>
    <w:footnote w:id="27"/>
  </w:footnotePr>
  <w:endnotePr>
    <w:numFmt w:val="decimalEnclosedCircleChinese"/>
    <w:numRestart w:val="eachSect"/>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OTdmZmQ0Mzg5ODQ0NDliZTZlYTdhMzE2YzZjMmYifQ=="/>
  </w:docVars>
  <w:rsids>
    <w:rsidRoot w:val="002100CD"/>
    <w:rsid w:val="000147AC"/>
    <w:rsid w:val="000177C5"/>
    <w:rsid w:val="000230AD"/>
    <w:rsid w:val="00024510"/>
    <w:rsid w:val="00041D5A"/>
    <w:rsid w:val="000478B3"/>
    <w:rsid w:val="00050A3A"/>
    <w:rsid w:val="0005388B"/>
    <w:rsid w:val="0006244A"/>
    <w:rsid w:val="00076878"/>
    <w:rsid w:val="00086634"/>
    <w:rsid w:val="00094C3E"/>
    <w:rsid w:val="00096006"/>
    <w:rsid w:val="0009767B"/>
    <w:rsid w:val="000A3F57"/>
    <w:rsid w:val="000B26CC"/>
    <w:rsid w:val="000D19F3"/>
    <w:rsid w:val="000F71A0"/>
    <w:rsid w:val="00102EA8"/>
    <w:rsid w:val="0010452D"/>
    <w:rsid w:val="001116C3"/>
    <w:rsid w:val="00121D30"/>
    <w:rsid w:val="0013154B"/>
    <w:rsid w:val="00163D23"/>
    <w:rsid w:val="00163FA7"/>
    <w:rsid w:val="00164B07"/>
    <w:rsid w:val="001807C2"/>
    <w:rsid w:val="001900FA"/>
    <w:rsid w:val="00190AC2"/>
    <w:rsid w:val="0019585C"/>
    <w:rsid w:val="001A11BD"/>
    <w:rsid w:val="001A2C9A"/>
    <w:rsid w:val="001B112B"/>
    <w:rsid w:val="001D0825"/>
    <w:rsid w:val="001D6F23"/>
    <w:rsid w:val="001D7A3B"/>
    <w:rsid w:val="001E0632"/>
    <w:rsid w:val="001F449D"/>
    <w:rsid w:val="00205669"/>
    <w:rsid w:val="002100CD"/>
    <w:rsid w:val="002138A9"/>
    <w:rsid w:val="0022230D"/>
    <w:rsid w:val="00233C6C"/>
    <w:rsid w:val="00235008"/>
    <w:rsid w:val="00243E99"/>
    <w:rsid w:val="00261659"/>
    <w:rsid w:val="00264789"/>
    <w:rsid w:val="0026718D"/>
    <w:rsid w:val="00276B8C"/>
    <w:rsid w:val="0028335E"/>
    <w:rsid w:val="00293FAC"/>
    <w:rsid w:val="002A54D1"/>
    <w:rsid w:val="002B3CA7"/>
    <w:rsid w:val="002B7193"/>
    <w:rsid w:val="002C7023"/>
    <w:rsid w:val="002D6562"/>
    <w:rsid w:val="002E4EF9"/>
    <w:rsid w:val="002F79A4"/>
    <w:rsid w:val="00302ED8"/>
    <w:rsid w:val="00307DA9"/>
    <w:rsid w:val="00311328"/>
    <w:rsid w:val="00315DAE"/>
    <w:rsid w:val="003269E5"/>
    <w:rsid w:val="00331A25"/>
    <w:rsid w:val="00341A50"/>
    <w:rsid w:val="00346818"/>
    <w:rsid w:val="00347516"/>
    <w:rsid w:val="00352B19"/>
    <w:rsid w:val="003802B8"/>
    <w:rsid w:val="00393045"/>
    <w:rsid w:val="003D3386"/>
    <w:rsid w:val="003E785A"/>
    <w:rsid w:val="003F4A10"/>
    <w:rsid w:val="00405D20"/>
    <w:rsid w:val="0041512C"/>
    <w:rsid w:val="00420E91"/>
    <w:rsid w:val="00422DA5"/>
    <w:rsid w:val="00424A5B"/>
    <w:rsid w:val="0042690C"/>
    <w:rsid w:val="00430F2E"/>
    <w:rsid w:val="00443E5D"/>
    <w:rsid w:val="004751F0"/>
    <w:rsid w:val="0048240A"/>
    <w:rsid w:val="00486252"/>
    <w:rsid w:val="004A258A"/>
    <w:rsid w:val="004A51A6"/>
    <w:rsid w:val="004A6389"/>
    <w:rsid w:val="004B15A5"/>
    <w:rsid w:val="004B6B27"/>
    <w:rsid w:val="004C41B4"/>
    <w:rsid w:val="004C5D70"/>
    <w:rsid w:val="004D34A5"/>
    <w:rsid w:val="004E0803"/>
    <w:rsid w:val="004E185D"/>
    <w:rsid w:val="004E3F83"/>
    <w:rsid w:val="004F1185"/>
    <w:rsid w:val="004F4785"/>
    <w:rsid w:val="00511D73"/>
    <w:rsid w:val="00513130"/>
    <w:rsid w:val="00517647"/>
    <w:rsid w:val="0052363F"/>
    <w:rsid w:val="00527AAD"/>
    <w:rsid w:val="00533BAF"/>
    <w:rsid w:val="005411C6"/>
    <w:rsid w:val="005445B3"/>
    <w:rsid w:val="00590525"/>
    <w:rsid w:val="005A6854"/>
    <w:rsid w:val="005E5B62"/>
    <w:rsid w:val="005E679D"/>
    <w:rsid w:val="005F4184"/>
    <w:rsid w:val="00603317"/>
    <w:rsid w:val="00605334"/>
    <w:rsid w:val="006109CB"/>
    <w:rsid w:val="00613416"/>
    <w:rsid w:val="00617157"/>
    <w:rsid w:val="006177DD"/>
    <w:rsid w:val="006303C2"/>
    <w:rsid w:val="00632550"/>
    <w:rsid w:val="00651623"/>
    <w:rsid w:val="006603B3"/>
    <w:rsid w:val="006638F8"/>
    <w:rsid w:val="00671A61"/>
    <w:rsid w:val="00690F1D"/>
    <w:rsid w:val="00696CAA"/>
    <w:rsid w:val="006B34E1"/>
    <w:rsid w:val="006B7EC3"/>
    <w:rsid w:val="006D076F"/>
    <w:rsid w:val="006D71EE"/>
    <w:rsid w:val="006E26A1"/>
    <w:rsid w:val="006E6265"/>
    <w:rsid w:val="006E7BE0"/>
    <w:rsid w:val="006F4C54"/>
    <w:rsid w:val="0070387D"/>
    <w:rsid w:val="00730FD4"/>
    <w:rsid w:val="007366C6"/>
    <w:rsid w:val="007504E0"/>
    <w:rsid w:val="0075517C"/>
    <w:rsid w:val="0076194B"/>
    <w:rsid w:val="00766615"/>
    <w:rsid w:val="00766FE3"/>
    <w:rsid w:val="00777332"/>
    <w:rsid w:val="00796290"/>
    <w:rsid w:val="007C26A7"/>
    <w:rsid w:val="007F3CA6"/>
    <w:rsid w:val="007F47BD"/>
    <w:rsid w:val="00806213"/>
    <w:rsid w:val="00814A49"/>
    <w:rsid w:val="00820C08"/>
    <w:rsid w:val="008335E6"/>
    <w:rsid w:val="00833CCF"/>
    <w:rsid w:val="00835FDF"/>
    <w:rsid w:val="0085367A"/>
    <w:rsid w:val="008617BD"/>
    <w:rsid w:val="008700F9"/>
    <w:rsid w:val="00872712"/>
    <w:rsid w:val="008747A2"/>
    <w:rsid w:val="00886728"/>
    <w:rsid w:val="0089086C"/>
    <w:rsid w:val="008933F3"/>
    <w:rsid w:val="008A6573"/>
    <w:rsid w:val="008C0475"/>
    <w:rsid w:val="008C221B"/>
    <w:rsid w:val="008E5B7F"/>
    <w:rsid w:val="008E6868"/>
    <w:rsid w:val="008F4157"/>
    <w:rsid w:val="00903631"/>
    <w:rsid w:val="00914A8E"/>
    <w:rsid w:val="00922024"/>
    <w:rsid w:val="00933958"/>
    <w:rsid w:val="0095375B"/>
    <w:rsid w:val="00964D87"/>
    <w:rsid w:val="009745B9"/>
    <w:rsid w:val="009804C9"/>
    <w:rsid w:val="00994E88"/>
    <w:rsid w:val="009973DA"/>
    <w:rsid w:val="009A6249"/>
    <w:rsid w:val="009B0FB0"/>
    <w:rsid w:val="009B1359"/>
    <w:rsid w:val="009C6BEE"/>
    <w:rsid w:val="009D314D"/>
    <w:rsid w:val="009E35CF"/>
    <w:rsid w:val="00A11A9C"/>
    <w:rsid w:val="00A1778C"/>
    <w:rsid w:val="00A60B46"/>
    <w:rsid w:val="00A64A90"/>
    <w:rsid w:val="00A66844"/>
    <w:rsid w:val="00A7542E"/>
    <w:rsid w:val="00A8198B"/>
    <w:rsid w:val="00A8264E"/>
    <w:rsid w:val="00A85C0B"/>
    <w:rsid w:val="00A92D4B"/>
    <w:rsid w:val="00A9627A"/>
    <w:rsid w:val="00AA0916"/>
    <w:rsid w:val="00AE6F75"/>
    <w:rsid w:val="00AF0670"/>
    <w:rsid w:val="00B00221"/>
    <w:rsid w:val="00B14655"/>
    <w:rsid w:val="00B466BE"/>
    <w:rsid w:val="00B663CC"/>
    <w:rsid w:val="00B7077D"/>
    <w:rsid w:val="00B8007C"/>
    <w:rsid w:val="00B86600"/>
    <w:rsid w:val="00B94B2B"/>
    <w:rsid w:val="00B95242"/>
    <w:rsid w:val="00B9567F"/>
    <w:rsid w:val="00BB3AA2"/>
    <w:rsid w:val="00BC68E4"/>
    <w:rsid w:val="00BE12BA"/>
    <w:rsid w:val="00BF373F"/>
    <w:rsid w:val="00C1108D"/>
    <w:rsid w:val="00C1225E"/>
    <w:rsid w:val="00C3589F"/>
    <w:rsid w:val="00C7204D"/>
    <w:rsid w:val="00C748D2"/>
    <w:rsid w:val="00C86468"/>
    <w:rsid w:val="00C864AD"/>
    <w:rsid w:val="00C8792B"/>
    <w:rsid w:val="00CA723C"/>
    <w:rsid w:val="00CD79ED"/>
    <w:rsid w:val="00D059CF"/>
    <w:rsid w:val="00D066EB"/>
    <w:rsid w:val="00D068BD"/>
    <w:rsid w:val="00D13CB3"/>
    <w:rsid w:val="00D2069F"/>
    <w:rsid w:val="00D35A14"/>
    <w:rsid w:val="00D50A24"/>
    <w:rsid w:val="00D54DD4"/>
    <w:rsid w:val="00D6189C"/>
    <w:rsid w:val="00D941CB"/>
    <w:rsid w:val="00DB006B"/>
    <w:rsid w:val="00DB030C"/>
    <w:rsid w:val="00DB0604"/>
    <w:rsid w:val="00DC3E9C"/>
    <w:rsid w:val="00DD05BE"/>
    <w:rsid w:val="00DD1876"/>
    <w:rsid w:val="00DD4D87"/>
    <w:rsid w:val="00E100E2"/>
    <w:rsid w:val="00E2076A"/>
    <w:rsid w:val="00E22C3D"/>
    <w:rsid w:val="00E46658"/>
    <w:rsid w:val="00E6004E"/>
    <w:rsid w:val="00E60A9C"/>
    <w:rsid w:val="00E67F18"/>
    <w:rsid w:val="00E703CE"/>
    <w:rsid w:val="00E73E0D"/>
    <w:rsid w:val="00E76260"/>
    <w:rsid w:val="00E83139"/>
    <w:rsid w:val="00E85637"/>
    <w:rsid w:val="00EA7819"/>
    <w:rsid w:val="00EA7E1A"/>
    <w:rsid w:val="00EB293C"/>
    <w:rsid w:val="00EC12A1"/>
    <w:rsid w:val="00EC2C1F"/>
    <w:rsid w:val="00EC3E6B"/>
    <w:rsid w:val="00ED1A39"/>
    <w:rsid w:val="00ED1BC5"/>
    <w:rsid w:val="00EE5943"/>
    <w:rsid w:val="00EF1E3E"/>
    <w:rsid w:val="00F127A5"/>
    <w:rsid w:val="00F2330A"/>
    <w:rsid w:val="00F36537"/>
    <w:rsid w:val="00F777AA"/>
    <w:rsid w:val="00F80782"/>
    <w:rsid w:val="00F845FD"/>
    <w:rsid w:val="00FA65B6"/>
    <w:rsid w:val="00FA7625"/>
    <w:rsid w:val="00FB0182"/>
    <w:rsid w:val="00FB4B62"/>
    <w:rsid w:val="00FC1138"/>
    <w:rsid w:val="00FF3655"/>
    <w:rsid w:val="00FF51AF"/>
    <w:rsid w:val="015352D3"/>
    <w:rsid w:val="01C3695D"/>
    <w:rsid w:val="01DE4496"/>
    <w:rsid w:val="02AF3C65"/>
    <w:rsid w:val="02C9688E"/>
    <w:rsid w:val="035C474C"/>
    <w:rsid w:val="03C04BBB"/>
    <w:rsid w:val="042D4639"/>
    <w:rsid w:val="04C701F5"/>
    <w:rsid w:val="05111EB2"/>
    <w:rsid w:val="05A64EA5"/>
    <w:rsid w:val="05CF4E25"/>
    <w:rsid w:val="05FE3CC0"/>
    <w:rsid w:val="06214DC1"/>
    <w:rsid w:val="06E133EF"/>
    <w:rsid w:val="06F21187"/>
    <w:rsid w:val="07684EA1"/>
    <w:rsid w:val="07AB39D1"/>
    <w:rsid w:val="0852043F"/>
    <w:rsid w:val="088C28AB"/>
    <w:rsid w:val="09764352"/>
    <w:rsid w:val="09F43D54"/>
    <w:rsid w:val="0A9D21CB"/>
    <w:rsid w:val="0B564EBD"/>
    <w:rsid w:val="0B666424"/>
    <w:rsid w:val="0BAD0A11"/>
    <w:rsid w:val="0BC82585"/>
    <w:rsid w:val="0C5D4312"/>
    <w:rsid w:val="0C604AC6"/>
    <w:rsid w:val="0EA1771C"/>
    <w:rsid w:val="0EE42FF5"/>
    <w:rsid w:val="0F405AFE"/>
    <w:rsid w:val="0F706C06"/>
    <w:rsid w:val="0F884408"/>
    <w:rsid w:val="0F932AA3"/>
    <w:rsid w:val="1014654D"/>
    <w:rsid w:val="101D2ACC"/>
    <w:rsid w:val="10240474"/>
    <w:rsid w:val="108C6184"/>
    <w:rsid w:val="10CA67FF"/>
    <w:rsid w:val="1177105C"/>
    <w:rsid w:val="11C8761F"/>
    <w:rsid w:val="11D77504"/>
    <w:rsid w:val="120359E7"/>
    <w:rsid w:val="12714D8B"/>
    <w:rsid w:val="12B77933"/>
    <w:rsid w:val="12E82452"/>
    <w:rsid w:val="13533D6F"/>
    <w:rsid w:val="13CA086D"/>
    <w:rsid w:val="13E939FC"/>
    <w:rsid w:val="14FA3D2C"/>
    <w:rsid w:val="150719A6"/>
    <w:rsid w:val="15A62D19"/>
    <w:rsid w:val="15CE7688"/>
    <w:rsid w:val="161A6DC6"/>
    <w:rsid w:val="16D348AF"/>
    <w:rsid w:val="179100AB"/>
    <w:rsid w:val="185A3A37"/>
    <w:rsid w:val="18B02BBE"/>
    <w:rsid w:val="19366A40"/>
    <w:rsid w:val="193A32DB"/>
    <w:rsid w:val="19AF3DA9"/>
    <w:rsid w:val="19E0766B"/>
    <w:rsid w:val="1A4F7C5D"/>
    <w:rsid w:val="1AA41354"/>
    <w:rsid w:val="1AE22F81"/>
    <w:rsid w:val="1AED393F"/>
    <w:rsid w:val="1AFE02BC"/>
    <w:rsid w:val="1BC04246"/>
    <w:rsid w:val="1BF543CA"/>
    <w:rsid w:val="1C007AD2"/>
    <w:rsid w:val="1C255FA0"/>
    <w:rsid w:val="1CC3163B"/>
    <w:rsid w:val="1CD17DC6"/>
    <w:rsid w:val="1D4E37F9"/>
    <w:rsid w:val="1DB33EBA"/>
    <w:rsid w:val="1EAD00B8"/>
    <w:rsid w:val="1F515210"/>
    <w:rsid w:val="1F8B19CE"/>
    <w:rsid w:val="206C4245"/>
    <w:rsid w:val="20B90CD6"/>
    <w:rsid w:val="20C919B6"/>
    <w:rsid w:val="20FD3E2F"/>
    <w:rsid w:val="210403D5"/>
    <w:rsid w:val="22140793"/>
    <w:rsid w:val="223B259E"/>
    <w:rsid w:val="22BE538F"/>
    <w:rsid w:val="265B1043"/>
    <w:rsid w:val="27723FD3"/>
    <w:rsid w:val="282F02A2"/>
    <w:rsid w:val="291E64FD"/>
    <w:rsid w:val="2A036175"/>
    <w:rsid w:val="2AA54DDB"/>
    <w:rsid w:val="2ABC0BBC"/>
    <w:rsid w:val="2AFA1EC2"/>
    <w:rsid w:val="2C471253"/>
    <w:rsid w:val="2C5D1363"/>
    <w:rsid w:val="2CE65CF9"/>
    <w:rsid w:val="2DB6124F"/>
    <w:rsid w:val="2E1D36DB"/>
    <w:rsid w:val="2E2F2C13"/>
    <w:rsid w:val="2E441B0F"/>
    <w:rsid w:val="2E9D1870"/>
    <w:rsid w:val="2EC830D2"/>
    <w:rsid w:val="2F094BFA"/>
    <w:rsid w:val="2F0F765C"/>
    <w:rsid w:val="2F1403FE"/>
    <w:rsid w:val="2F7F0F17"/>
    <w:rsid w:val="304747E7"/>
    <w:rsid w:val="30C56173"/>
    <w:rsid w:val="311B3135"/>
    <w:rsid w:val="314A6213"/>
    <w:rsid w:val="31C66DBA"/>
    <w:rsid w:val="31DC52E0"/>
    <w:rsid w:val="32C0264B"/>
    <w:rsid w:val="331D6D76"/>
    <w:rsid w:val="333B2CBF"/>
    <w:rsid w:val="33DC1707"/>
    <w:rsid w:val="34585F20"/>
    <w:rsid w:val="35C67F79"/>
    <w:rsid w:val="36B90E4C"/>
    <w:rsid w:val="36DB0ECF"/>
    <w:rsid w:val="37270954"/>
    <w:rsid w:val="374737CB"/>
    <w:rsid w:val="37C6603D"/>
    <w:rsid w:val="38125A5F"/>
    <w:rsid w:val="383723A5"/>
    <w:rsid w:val="38A5727E"/>
    <w:rsid w:val="38BF30A5"/>
    <w:rsid w:val="39A82B5F"/>
    <w:rsid w:val="39CC6BC4"/>
    <w:rsid w:val="39E249DD"/>
    <w:rsid w:val="3A0859C2"/>
    <w:rsid w:val="3A9826BE"/>
    <w:rsid w:val="3C700E9B"/>
    <w:rsid w:val="3D0C2F4B"/>
    <w:rsid w:val="3DA25E57"/>
    <w:rsid w:val="3DDE56FF"/>
    <w:rsid w:val="40425F15"/>
    <w:rsid w:val="41184923"/>
    <w:rsid w:val="41F25CC2"/>
    <w:rsid w:val="423B592B"/>
    <w:rsid w:val="42C9400F"/>
    <w:rsid w:val="43761230"/>
    <w:rsid w:val="43D40410"/>
    <w:rsid w:val="45347EB7"/>
    <w:rsid w:val="454312B7"/>
    <w:rsid w:val="4565582E"/>
    <w:rsid w:val="45933626"/>
    <w:rsid w:val="45DB3386"/>
    <w:rsid w:val="463F5800"/>
    <w:rsid w:val="473F566B"/>
    <w:rsid w:val="47626715"/>
    <w:rsid w:val="478F54C6"/>
    <w:rsid w:val="48C4297F"/>
    <w:rsid w:val="49397237"/>
    <w:rsid w:val="493F0316"/>
    <w:rsid w:val="495A090E"/>
    <w:rsid w:val="49E61421"/>
    <w:rsid w:val="4AC9210E"/>
    <w:rsid w:val="4B2C376B"/>
    <w:rsid w:val="4B394F60"/>
    <w:rsid w:val="4CAA1A76"/>
    <w:rsid w:val="4CEF6FC8"/>
    <w:rsid w:val="4DBC6F64"/>
    <w:rsid w:val="4E364A28"/>
    <w:rsid w:val="4E841282"/>
    <w:rsid w:val="4ED35D0F"/>
    <w:rsid w:val="4F8143C9"/>
    <w:rsid w:val="50720661"/>
    <w:rsid w:val="50C3557A"/>
    <w:rsid w:val="51782617"/>
    <w:rsid w:val="51C66472"/>
    <w:rsid w:val="521F65C1"/>
    <w:rsid w:val="52427F61"/>
    <w:rsid w:val="52604BFA"/>
    <w:rsid w:val="52925740"/>
    <w:rsid w:val="537A08C9"/>
    <w:rsid w:val="537B38A5"/>
    <w:rsid w:val="538057B3"/>
    <w:rsid w:val="53FA4D8B"/>
    <w:rsid w:val="54C064DD"/>
    <w:rsid w:val="554259E1"/>
    <w:rsid w:val="554E54DE"/>
    <w:rsid w:val="55A06976"/>
    <w:rsid w:val="55A42049"/>
    <w:rsid w:val="55EE630E"/>
    <w:rsid w:val="56114DE8"/>
    <w:rsid w:val="56EC0F8A"/>
    <w:rsid w:val="571254EA"/>
    <w:rsid w:val="571B7CCD"/>
    <w:rsid w:val="576F77F8"/>
    <w:rsid w:val="57B35F40"/>
    <w:rsid w:val="5850065A"/>
    <w:rsid w:val="59B63CDD"/>
    <w:rsid w:val="5B302BB2"/>
    <w:rsid w:val="5B604FD8"/>
    <w:rsid w:val="5B7F1C70"/>
    <w:rsid w:val="5B8A07CE"/>
    <w:rsid w:val="5BC534EF"/>
    <w:rsid w:val="5BD87C45"/>
    <w:rsid w:val="5BD936B8"/>
    <w:rsid w:val="5C506B37"/>
    <w:rsid w:val="5C6861CC"/>
    <w:rsid w:val="5CC536E7"/>
    <w:rsid w:val="5D4930BA"/>
    <w:rsid w:val="5E8048E3"/>
    <w:rsid w:val="5F32191D"/>
    <w:rsid w:val="5FEB593B"/>
    <w:rsid w:val="609C4898"/>
    <w:rsid w:val="60AA4B2B"/>
    <w:rsid w:val="60E63E78"/>
    <w:rsid w:val="60E75724"/>
    <w:rsid w:val="610F0493"/>
    <w:rsid w:val="61537412"/>
    <w:rsid w:val="621444A4"/>
    <w:rsid w:val="631351B9"/>
    <w:rsid w:val="63807109"/>
    <w:rsid w:val="638E45C3"/>
    <w:rsid w:val="63AB062A"/>
    <w:rsid w:val="640B731B"/>
    <w:rsid w:val="64B9288D"/>
    <w:rsid w:val="659A6266"/>
    <w:rsid w:val="6618187B"/>
    <w:rsid w:val="665925BF"/>
    <w:rsid w:val="67532432"/>
    <w:rsid w:val="675F3FFC"/>
    <w:rsid w:val="67BC74C4"/>
    <w:rsid w:val="67F066C9"/>
    <w:rsid w:val="67F20C7F"/>
    <w:rsid w:val="692822C0"/>
    <w:rsid w:val="695577E6"/>
    <w:rsid w:val="69647A6C"/>
    <w:rsid w:val="69880BB4"/>
    <w:rsid w:val="6AEA1A38"/>
    <w:rsid w:val="6AEE16C6"/>
    <w:rsid w:val="6B70679C"/>
    <w:rsid w:val="6C283CFA"/>
    <w:rsid w:val="6CA74252"/>
    <w:rsid w:val="6CD13207"/>
    <w:rsid w:val="6D1B05CF"/>
    <w:rsid w:val="6D3660DD"/>
    <w:rsid w:val="6F577B0C"/>
    <w:rsid w:val="6F5A4CB2"/>
    <w:rsid w:val="6FCE39FC"/>
    <w:rsid w:val="6FFA5FC3"/>
    <w:rsid w:val="70003A85"/>
    <w:rsid w:val="70362291"/>
    <w:rsid w:val="704972BC"/>
    <w:rsid w:val="70756248"/>
    <w:rsid w:val="70AB38B1"/>
    <w:rsid w:val="70C920F0"/>
    <w:rsid w:val="7123505E"/>
    <w:rsid w:val="71705FC9"/>
    <w:rsid w:val="71834994"/>
    <w:rsid w:val="71B66B18"/>
    <w:rsid w:val="71EC4E43"/>
    <w:rsid w:val="71F21526"/>
    <w:rsid w:val="72715D65"/>
    <w:rsid w:val="72DE1450"/>
    <w:rsid w:val="72F42C94"/>
    <w:rsid w:val="730F0F3F"/>
    <w:rsid w:val="733A6AF9"/>
    <w:rsid w:val="751D2A0A"/>
    <w:rsid w:val="75D6735E"/>
    <w:rsid w:val="75E672A0"/>
    <w:rsid w:val="76D15973"/>
    <w:rsid w:val="771F29B1"/>
    <w:rsid w:val="777E2249"/>
    <w:rsid w:val="79B67745"/>
    <w:rsid w:val="79DB4241"/>
    <w:rsid w:val="7A76135B"/>
    <w:rsid w:val="7B4D0916"/>
    <w:rsid w:val="7B7526BC"/>
    <w:rsid w:val="7BB53956"/>
    <w:rsid w:val="7C611D76"/>
    <w:rsid w:val="7CF80CB7"/>
    <w:rsid w:val="7D0A31E8"/>
    <w:rsid w:val="7D407091"/>
    <w:rsid w:val="7DD952DD"/>
    <w:rsid w:val="7E2A4E79"/>
    <w:rsid w:val="7E786F03"/>
    <w:rsid w:val="7E7C7B82"/>
    <w:rsid w:val="7FA925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1"/>
      <w:szCs w:val="21"/>
      <w:lang w:val="en-US" w:eastAsia="zh-CN" w:bidi="ar-SA"/>
    </w:rPr>
  </w:style>
  <w:style w:type="paragraph" w:styleId="2">
    <w:name w:val="heading 1"/>
    <w:basedOn w:val="1"/>
    <w:next w:val="1"/>
    <w:qFormat/>
    <w:uiPriority w:val="9"/>
    <w:pPr>
      <w:spacing w:before="300" w:after="150" w:line="1050" w:lineRule="atLeast"/>
      <w:outlineLvl w:val="0"/>
    </w:pPr>
    <w:rPr>
      <w:rFonts w:ascii="黑体" w:hAnsi="宋体" w:eastAsia="黑体" w:cs="Times New Roman"/>
      <w:b/>
      <w:bCs/>
      <w:kern w:val="44"/>
      <w:sz w:val="72"/>
      <w:szCs w:val="7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before="100" w:beforeAutospacing="1" w:after="120"/>
    </w:pPr>
    <w:rPr>
      <w:rFonts w:ascii="Calibri" w:hAnsi="Calibri" w:eastAsia="宋体" w:cs="Times New Roman"/>
    </w:rPr>
  </w:style>
  <w:style w:type="paragraph" w:styleId="4">
    <w:name w:val="Body Text Indent"/>
    <w:basedOn w:val="1"/>
    <w:qFormat/>
    <w:uiPriority w:val="0"/>
    <w:pPr>
      <w:spacing w:after="120"/>
      <w:ind w:left="420" w:leftChars="200"/>
    </w:pPr>
  </w:style>
  <w:style w:type="paragraph" w:styleId="5">
    <w:name w:val="Balloon Text"/>
    <w:basedOn w:val="1"/>
    <w:next w:val="1"/>
    <w:link w:val="20"/>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1"/>
    <w:semiHidden/>
    <w:unhideWhenUsed/>
    <w:qFormat/>
    <w:uiPriority w:val="99"/>
    <w:pPr>
      <w:snapToGrid w:val="0"/>
    </w:pPr>
    <w:rPr>
      <w:sz w:val="18"/>
      <w:szCs w:val="18"/>
    </w:rPr>
  </w:style>
  <w:style w:type="paragraph" w:styleId="9">
    <w:name w:val="Normal (Web)"/>
    <w:basedOn w:val="1"/>
    <w:unhideWhenUsed/>
    <w:qFormat/>
    <w:uiPriority w:val="99"/>
    <w:pPr>
      <w:spacing w:before="100" w:beforeAutospacing="1" w:after="100" w:afterAutospacing="1"/>
    </w:pPr>
    <w:rPr>
      <w:rFonts w:ascii="宋体" w:hAnsi="宋体" w:eastAsia="宋体" w:cs="宋体"/>
      <w:kern w:val="0"/>
      <w:sz w:val="24"/>
      <w:szCs w:val="24"/>
    </w:rPr>
  </w:style>
  <w:style w:type="paragraph" w:styleId="10">
    <w:name w:val="Body Text First Indent 2"/>
    <w:basedOn w:val="4"/>
    <w:qFormat/>
    <w:uiPriority w:val="0"/>
    <w:pPr>
      <w:ind w:firstLine="420" w:firstLineChars="200"/>
    </w:pPr>
  </w:style>
  <w:style w:type="character" w:styleId="13">
    <w:name w:val="Strong"/>
    <w:basedOn w:val="12"/>
    <w:qFormat/>
    <w:uiPriority w:val="22"/>
    <w:rPr>
      <w:b/>
    </w:rPr>
  </w:style>
  <w:style w:type="character" w:styleId="14">
    <w:name w:val="FollowedHyperlink"/>
    <w:basedOn w:val="12"/>
    <w:semiHidden/>
    <w:unhideWhenUsed/>
    <w:qFormat/>
    <w:uiPriority w:val="99"/>
    <w:rPr>
      <w:color w:val="2A2A2A"/>
      <w:u w:val="none"/>
    </w:rPr>
  </w:style>
  <w:style w:type="character" w:styleId="15">
    <w:name w:val="Emphasis"/>
    <w:basedOn w:val="12"/>
    <w:qFormat/>
    <w:uiPriority w:val="20"/>
    <w:rPr>
      <w:i/>
    </w:rPr>
  </w:style>
  <w:style w:type="character" w:styleId="16">
    <w:name w:val="Hyperlink"/>
    <w:basedOn w:val="12"/>
    <w:semiHidden/>
    <w:unhideWhenUsed/>
    <w:qFormat/>
    <w:uiPriority w:val="99"/>
    <w:rPr>
      <w:color w:val="2A2A2A"/>
      <w:u w:val="none"/>
    </w:rPr>
  </w:style>
  <w:style w:type="character" w:styleId="17">
    <w:name w:val="footnote reference"/>
    <w:basedOn w:val="12"/>
    <w:semiHidden/>
    <w:unhideWhenUsed/>
    <w:qFormat/>
    <w:uiPriority w:val="99"/>
    <w:rPr>
      <w:vertAlign w:val="superscript"/>
    </w:rPr>
  </w:style>
  <w:style w:type="character" w:customStyle="1" w:styleId="18">
    <w:name w:val="页眉 Char"/>
    <w:basedOn w:val="12"/>
    <w:link w:val="7"/>
    <w:qFormat/>
    <w:uiPriority w:val="99"/>
    <w:rPr>
      <w:sz w:val="18"/>
      <w:szCs w:val="18"/>
    </w:rPr>
  </w:style>
  <w:style w:type="character" w:customStyle="1" w:styleId="19">
    <w:name w:val="页脚 Char"/>
    <w:basedOn w:val="12"/>
    <w:link w:val="6"/>
    <w:qFormat/>
    <w:uiPriority w:val="99"/>
    <w:rPr>
      <w:sz w:val="18"/>
      <w:szCs w:val="18"/>
    </w:rPr>
  </w:style>
  <w:style w:type="character" w:customStyle="1" w:styleId="20">
    <w:name w:val="批注框文本 Char"/>
    <w:basedOn w:val="12"/>
    <w:link w:val="5"/>
    <w:semiHidden/>
    <w:qFormat/>
    <w:uiPriority w:val="99"/>
    <w:rPr>
      <w:sz w:val="18"/>
      <w:szCs w:val="18"/>
    </w:rPr>
  </w:style>
  <w:style w:type="character" w:customStyle="1" w:styleId="21">
    <w:name w:val="脚注文本 Char"/>
    <w:basedOn w:val="12"/>
    <w:link w:val="8"/>
    <w:semiHidden/>
    <w:qFormat/>
    <w:uiPriority w:val="99"/>
    <w:rPr>
      <w:sz w:val="18"/>
      <w:szCs w:val="18"/>
    </w:rPr>
  </w:style>
  <w:style w:type="paragraph" w:customStyle="1" w:styleId="22">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3">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989</Words>
  <Characters>1046</Characters>
  <Lines>38</Lines>
  <Paragraphs>10</Paragraphs>
  <TotalTime>56</TotalTime>
  <ScaleCrop>false</ScaleCrop>
  <LinksUpToDate>false</LinksUpToDate>
  <CharactersWithSpaces>1052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2019-07-17T01:13:00Z</dcterms:created>
  <dc:creator>AJJ02</dc:creator>
  <cp:lastModifiedBy>澄澈</cp:lastModifiedBy>
  <cp:lastPrinted>2026-05-20T09:04:00Z</cp:lastPrinted>
  <dcterms:modified xsi:type="dcterms:W3CDTF">2026-06-03T01:14:03Z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846A4060451B4C4A9AFD1BCF44C62467_13</vt:lpwstr>
  </property>
  <property fmtid="{D5CDD505-2E9C-101B-9397-08002B2CF9AE}" pid="4" name="KSOTemplateDocerSaveRecord">
    <vt:lpwstr>eyJoZGlkIjoiNTQ5MTYyZDg4NDMyM2QxNzdkZDAwNmUyYWE5YzFjNmEiLCJ1c2VySWQiOiIzOTMwMDYyMjYifQ==</vt:lpwstr>
  </property>
</Properties>
</file>