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05853">
      <w:pPr>
        <w:keepNext w:val="0"/>
        <w:keepLines w:val="0"/>
        <w:pageBreakBefore w:val="0"/>
        <w:widowControl/>
        <w:kinsoku/>
        <w:wordWrap/>
        <w:overflowPunct/>
        <w:topLinePunct w:val="0"/>
        <w:autoSpaceDE/>
        <w:autoSpaceDN/>
        <w:bidi w:val="0"/>
        <w:adjustRightInd w:val="0"/>
        <w:snapToGrid w:val="0"/>
        <w:spacing w:after="0" w:line="66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2024年新罗“3.19”一般道路</w:t>
      </w:r>
      <w:r>
        <w:rPr>
          <w:rFonts w:hint="eastAsia" w:ascii="方正小标宋简体" w:hAnsi="方正小标宋简体" w:eastAsia="方正小标宋简体" w:cs="方正小标宋简体"/>
          <w:b w:val="0"/>
          <w:bCs/>
          <w:sz w:val="36"/>
          <w:szCs w:val="36"/>
          <w:lang w:eastAsia="zh-CN"/>
        </w:rPr>
        <w:t>交通</w:t>
      </w:r>
      <w:r>
        <w:rPr>
          <w:rFonts w:hint="eastAsia" w:ascii="方正小标宋简体" w:hAnsi="方正小标宋简体" w:eastAsia="方正小标宋简体" w:cs="方正小标宋简体"/>
          <w:b w:val="0"/>
          <w:bCs/>
          <w:sz w:val="36"/>
          <w:szCs w:val="36"/>
        </w:rPr>
        <w:t>事故</w:t>
      </w:r>
    </w:p>
    <w:p w14:paraId="05C5F731">
      <w:pPr>
        <w:keepNext w:val="0"/>
        <w:keepLines w:val="0"/>
        <w:pageBreakBefore w:val="0"/>
        <w:widowControl/>
        <w:kinsoku/>
        <w:wordWrap/>
        <w:overflowPunct/>
        <w:topLinePunct w:val="0"/>
        <w:autoSpaceDE/>
        <w:autoSpaceDN/>
        <w:bidi w:val="0"/>
        <w:adjustRightInd w:val="0"/>
        <w:snapToGrid w:val="0"/>
        <w:spacing w:after="0" w:line="66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“回头看”评估报告</w:t>
      </w:r>
    </w:p>
    <w:p w14:paraId="3226E09F">
      <w:pPr>
        <w:spacing w:after="0" w:line="600" w:lineRule="exact"/>
        <w:ind w:firstLine="630"/>
        <w:rPr>
          <w:rStyle w:val="14"/>
          <w:rFonts w:hint="default" w:ascii="仿宋" w:hAnsi="仿宋" w:eastAsia="仿宋"/>
          <w:b/>
        </w:rPr>
      </w:pPr>
    </w:p>
    <w:p w14:paraId="700C2DD1">
      <w:pPr>
        <w:spacing w:after="0" w:line="600" w:lineRule="exact"/>
        <w:ind w:firstLine="630"/>
        <w:rPr>
          <w:rStyle w:val="14"/>
          <w:rFonts w:hint="default" w:ascii="仿宋" w:hAnsi="仿宋" w:eastAsia="仿宋"/>
          <w:b/>
        </w:rPr>
      </w:pPr>
      <w:r>
        <w:rPr>
          <w:rStyle w:val="14"/>
          <w:rFonts w:hint="default" w:ascii="仿宋" w:hAnsi="仿宋" w:eastAsia="仿宋"/>
          <w:b/>
        </w:rPr>
        <w:t>一、</w:t>
      </w:r>
      <w:r>
        <w:rPr>
          <w:rFonts w:hint="eastAsia" w:ascii="仿宋" w:hAnsi="仿宋" w:eastAsia="仿宋"/>
          <w:b/>
          <w:color w:val="000000"/>
          <w:sz w:val="32"/>
          <w:szCs w:val="32"/>
        </w:rPr>
        <w:t>评估工作组织开展情况</w:t>
      </w:r>
    </w:p>
    <w:p w14:paraId="17ECA49A">
      <w:pPr>
        <w:spacing w:after="0" w:line="600" w:lineRule="exact"/>
        <w:ind w:firstLine="630"/>
        <w:rPr>
          <w:rFonts w:ascii="仿宋" w:hAnsi="仿宋" w:eastAsia="仿宋"/>
          <w:sz w:val="32"/>
          <w:szCs w:val="32"/>
        </w:rPr>
      </w:pPr>
      <w:r>
        <w:rPr>
          <w:rStyle w:val="14"/>
          <w:rFonts w:hint="default" w:ascii="仿宋" w:hAnsi="仿宋" w:eastAsia="仿宋"/>
        </w:rPr>
        <w:t>根据《一般生产安全事故查处挂牌督办通知书》（岩市安委办督〔2024〕3号）文件要求，2025年7月1日，区安办牵头，市公安交警支队新罗大队、区交通运输局、总工会、应急局等单位有关人员组成评估小组，通过座谈问询、资料审查、查阅文件和现场核查等方式，对</w:t>
      </w:r>
      <w:r>
        <w:rPr>
          <w:rFonts w:hint="eastAsia" w:ascii="仿宋" w:hAnsi="仿宋" w:eastAsia="仿宋"/>
          <w:color w:val="000000"/>
          <w:sz w:val="32"/>
          <w:szCs w:val="32"/>
        </w:rPr>
        <w:t>2024年新罗“3</w:t>
      </w:r>
      <w:r>
        <w:rPr>
          <w:rFonts w:hint="eastAsia" w:ascii="仿宋" w:hAnsi="仿宋" w:eastAsia="仿宋" w:cs="仿宋_GB2312"/>
          <w:bCs/>
          <w:sz w:val="32"/>
          <w:szCs w:val="32"/>
        </w:rPr>
        <w:t>·</w:t>
      </w:r>
      <w:r>
        <w:rPr>
          <w:rFonts w:hint="eastAsia" w:ascii="仿宋" w:hAnsi="仿宋" w:eastAsia="仿宋"/>
          <w:color w:val="000000"/>
          <w:sz w:val="32"/>
          <w:szCs w:val="32"/>
        </w:rPr>
        <w:t>19”一般道路交通事故</w:t>
      </w:r>
      <w:r>
        <w:rPr>
          <w:rStyle w:val="14"/>
          <w:rFonts w:hint="default" w:ascii="仿宋" w:hAnsi="仿宋" w:eastAsia="仿宋"/>
        </w:rPr>
        <w:t>防范措施及责任追究、行政处罚落实情况进行逐项检查评估。</w:t>
      </w:r>
    </w:p>
    <w:p w14:paraId="4B2351F8">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二、事故责任人员责任追究落实情况</w:t>
      </w:r>
      <w:bookmarkStart w:id="0" w:name="_GoBack"/>
      <w:bookmarkEnd w:id="0"/>
    </w:p>
    <w:p w14:paraId="1C3AED80">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（一）行政处罚落实情况（3人）</w:t>
      </w:r>
    </w:p>
    <w:p w14:paraId="7860EE0D">
      <w:pPr>
        <w:spacing w:after="0" w:line="6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cs="Times New Roman"/>
          <w:sz w:val="32"/>
          <w:szCs w:val="32"/>
        </w:rPr>
        <w:t xml:space="preserve"> 张际润，龙岩鑫洲土石方工程有限公司法人代表</w:t>
      </w:r>
    </w:p>
    <w:p w14:paraId="338C5FE0">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处理建议：新罗区应急管理局</w:t>
      </w:r>
      <w:r>
        <w:rPr>
          <w:rFonts w:ascii="仿宋" w:hAnsi="仿宋" w:eastAsia="仿宋" w:cs="Times New Roman"/>
          <w:sz w:val="32"/>
          <w:szCs w:val="32"/>
        </w:rPr>
        <w:t>依据《中华人民共和国安全生产法》第九十五条第（一）项的规定</w:t>
      </w:r>
      <w:r>
        <w:rPr>
          <w:rFonts w:hint="eastAsia" w:ascii="仿宋" w:hAnsi="仿宋" w:eastAsia="仿宋"/>
          <w:sz w:val="32"/>
          <w:szCs w:val="32"/>
        </w:rPr>
        <w:t>对其进行行政处罚</w:t>
      </w:r>
      <w:r>
        <w:rPr>
          <w:rFonts w:ascii="仿宋" w:hAnsi="仿宋" w:eastAsia="仿宋" w:cs="Times New Roman"/>
          <w:sz w:val="32"/>
          <w:szCs w:val="32"/>
        </w:rPr>
        <w:t>。</w:t>
      </w:r>
    </w:p>
    <w:p w14:paraId="1D66CA75">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处理落实情况：2024年7月22日，新罗区应急管理局对其给予</w:t>
      </w:r>
      <w:r>
        <w:rPr>
          <w:rFonts w:ascii="仿宋" w:hAnsi="仿宋" w:eastAsia="仿宋" w:cs="Times New Roman"/>
          <w:sz w:val="32"/>
          <w:szCs w:val="32"/>
        </w:rPr>
        <w:t>28800</w:t>
      </w:r>
      <w:r>
        <w:rPr>
          <w:rFonts w:hint="eastAsia" w:ascii="仿宋" w:hAnsi="仿宋" w:eastAsia="仿宋"/>
          <w:sz w:val="32"/>
          <w:szCs w:val="32"/>
        </w:rPr>
        <w:t>元罚款的行政处罚；2024年9月11日，已缴清</w:t>
      </w:r>
      <w:r>
        <w:rPr>
          <w:rFonts w:ascii="仿宋" w:hAnsi="仿宋" w:eastAsia="仿宋" w:cs="Times New Roman"/>
          <w:sz w:val="32"/>
          <w:szCs w:val="32"/>
        </w:rPr>
        <w:t>28800元</w:t>
      </w:r>
      <w:r>
        <w:rPr>
          <w:rFonts w:hint="eastAsia" w:ascii="仿宋" w:hAnsi="仿宋" w:eastAsia="仿宋"/>
          <w:sz w:val="32"/>
          <w:szCs w:val="32"/>
        </w:rPr>
        <w:t>行政处罚款。</w:t>
      </w:r>
    </w:p>
    <w:p w14:paraId="0DCA743A">
      <w:pPr>
        <w:spacing w:after="0" w:line="600" w:lineRule="exact"/>
        <w:ind w:firstLine="640" w:firstLineChars="200"/>
        <w:rPr>
          <w:rFonts w:ascii="仿宋" w:hAnsi="仿宋" w:eastAsia="仿宋" w:cs="Times New Roman"/>
          <w:sz w:val="32"/>
          <w:szCs w:val="32"/>
        </w:rPr>
      </w:pPr>
      <w:r>
        <w:rPr>
          <w:rFonts w:hint="eastAsia" w:ascii="仿宋" w:hAnsi="仿宋" w:eastAsia="仿宋"/>
          <w:sz w:val="32"/>
          <w:szCs w:val="32"/>
        </w:rPr>
        <w:t>2.</w:t>
      </w:r>
      <w:r>
        <w:rPr>
          <w:rFonts w:ascii="仿宋" w:hAnsi="仿宋" w:eastAsia="仿宋" w:cs="Times New Roman"/>
          <w:sz w:val="32"/>
          <w:szCs w:val="32"/>
        </w:rPr>
        <w:t xml:space="preserve"> 邓朝柱，龙岩鑫洲土石方工程有限公司安全员</w:t>
      </w:r>
    </w:p>
    <w:p w14:paraId="297DFE4B">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处理建议：新罗区应急管理局</w:t>
      </w:r>
      <w:r>
        <w:rPr>
          <w:rFonts w:ascii="仿宋" w:hAnsi="仿宋" w:eastAsia="仿宋" w:cs="Times New Roman"/>
          <w:sz w:val="32"/>
          <w:szCs w:val="32"/>
        </w:rPr>
        <w:t>依据《中华人民共和国安全生产法》第九十六条的规定</w:t>
      </w:r>
      <w:r>
        <w:rPr>
          <w:rFonts w:hint="eastAsia" w:ascii="仿宋" w:hAnsi="仿宋" w:eastAsia="仿宋" w:cs="Times New Roman"/>
          <w:sz w:val="32"/>
          <w:szCs w:val="32"/>
        </w:rPr>
        <w:t>和《生产安全事故罚款处罚规定》</w:t>
      </w:r>
      <w:r>
        <w:rPr>
          <w:rFonts w:ascii="仿宋" w:hAnsi="仿宋" w:eastAsia="仿宋" w:cs="Times New Roman"/>
          <w:sz w:val="32"/>
          <w:szCs w:val="32"/>
        </w:rPr>
        <w:t>第</w:t>
      </w:r>
      <w:r>
        <w:rPr>
          <w:rFonts w:hint="eastAsia" w:ascii="仿宋" w:hAnsi="仿宋" w:eastAsia="仿宋" w:cs="Times New Roman"/>
          <w:sz w:val="32"/>
          <w:szCs w:val="32"/>
        </w:rPr>
        <w:t>二</w:t>
      </w:r>
      <w:r>
        <w:rPr>
          <w:rFonts w:ascii="仿宋" w:hAnsi="仿宋" w:eastAsia="仿宋" w:cs="Times New Roman"/>
          <w:sz w:val="32"/>
          <w:szCs w:val="32"/>
        </w:rPr>
        <w:t>十条第（</w:t>
      </w:r>
      <w:r>
        <w:rPr>
          <w:rFonts w:hint="eastAsia" w:ascii="仿宋" w:hAnsi="仿宋" w:eastAsia="仿宋" w:cs="Times New Roman"/>
          <w:sz w:val="32"/>
          <w:szCs w:val="32"/>
        </w:rPr>
        <w:t>一</w:t>
      </w:r>
      <w:r>
        <w:rPr>
          <w:rFonts w:ascii="仿宋" w:hAnsi="仿宋" w:eastAsia="仿宋" w:cs="Times New Roman"/>
          <w:sz w:val="32"/>
          <w:szCs w:val="32"/>
        </w:rPr>
        <w:t>）项的规定</w:t>
      </w:r>
      <w:r>
        <w:rPr>
          <w:rFonts w:hint="eastAsia" w:ascii="仿宋" w:hAnsi="仿宋" w:eastAsia="仿宋"/>
          <w:sz w:val="32"/>
          <w:szCs w:val="32"/>
        </w:rPr>
        <w:t>对其进行行政处罚</w:t>
      </w:r>
      <w:r>
        <w:rPr>
          <w:rFonts w:ascii="仿宋" w:hAnsi="仿宋" w:eastAsia="仿宋" w:cs="Times New Roman"/>
          <w:sz w:val="32"/>
          <w:szCs w:val="32"/>
        </w:rPr>
        <w:t>。</w:t>
      </w:r>
    </w:p>
    <w:p w14:paraId="26525C8B">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处理落实情况：2024年7月22日，新罗区应急管理局对其给予</w:t>
      </w:r>
      <w:r>
        <w:rPr>
          <w:rFonts w:hint="eastAsia" w:ascii="仿宋" w:hAnsi="仿宋" w:eastAsia="仿宋" w:cs="Times New Roman"/>
          <w:sz w:val="32"/>
          <w:szCs w:val="32"/>
        </w:rPr>
        <w:t>144</w:t>
      </w:r>
      <w:r>
        <w:rPr>
          <w:rFonts w:ascii="仿宋" w:hAnsi="仿宋" w:eastAsia="仿宋" w:cs="Times New Roman"/>
          <w:sz w:val="32"/>
          <w:szCs w:val="32"/>
        </w:rPr>
        <w:t>00</w:t>
      </w:r>
      <w:r>
        <w:rPr>
          <w:rFonts w:hint="eastAsia" w:ascii="仿宋" w:hAnsi="仿宋" w:eastAsia="仿宋"/>
          <w:sz w:val="32"/>
          <w:szCs w:val="32"/>
        </w:rPr>
        <w:t>元罚款的行政处罚；2024年9月11日，已缴清</w:t>
      </w:r>
      <w:r>
        <w:rPr>
          <w:rFonts w:hint="eastAsia" w:ascii="仿宋" w:hAnsi="仿宋" w:eastAsia="仿宋" w:cs="Times New Roman"/>
          <w:sz w:val="32"/>
          <w:szCs w:val="32"/>
        </w:rPr>
        <w:t>144</w:t>
      </w:r>
      <w:r>
        <w:rPr>
          <w:rFonts w:ascii="仿宋" w:hAnsi="仿宋" w:eastAsia="仿宋" w:cs="Times New Roman"/>
          <w:sz w:val="32"/>
          <w:szCs w:val="32"/>
        </w:rPr>
        <w:t>00元</w:t>
      </w:r>
      <w:r>
        <w:rPr>
          <w:rFonts w:hint="eastAsia" w:ascii="仿宋" w:hAnsi="仿宋" w:eastAsia="仿宋"/>
          <w:sz w:val="32"/>
          <w:szCs w:val="32"/>
        </w:rPr>
        <w:t>行政处罚款。</w:t>
      </w:r>
    </w:p>
    <w:p w14:paraId="2A8E2727">
      <w:pPr>
        <w:spacing w:after="0" w:line="60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张信良，龙岩鑫洲土石方工程有限公司驾驶员</w:t>
      </w:r>
    </w:p>
    <w:p w14:paraId="31D4B26D">
      <w:pPr>
        <w:spacing w:after="0" w:line="600" w:lineRule="exact"/>
        <w:ind w:firstLine="640" w:firstLineChars="200"/>
        <w:rPr>
          <w:rFonts w:ascii="仿宋" w:hAnsi="仿宋" w:eastAsia="仿宋" w:cs="Times New Roman"/>
          <w:sz w:val="32"/>
          <w:szCs w:val="32"/>
        </w:rPr>
      </w:pPr>
      <w:r>
        <w:rPr>
          <w:rFonts w:hint="eastAsia" w:ascii="仿宋" w:hAnsi="仿宋" w:eastAsia="仿宋"/>
          <w:sz w:val="32"/>
          <w:szCs w:val="32"/>
        </w:rPr>
        <w:t>处理建议：</w:t>
      </w:r>
      <w:r>
        <w:rPr>
          <w:rFonts w:ascii="仿宋" w:hAnsi="仿宋" w:eastAsia="仿宋" w:cs="Times New Roman"/>
          <w:sz w:val="32"/>
          <w:szCs w:val="32"/>
        </w:rPr>
        <w:t>交警部门</w:t>
      </w:r>
      <w:r>
        <w:rPr>
          <w:rFonts w:hint="eastAsia" w:ascii="仿宋" w:hAnsi="仿宋" w:eastAsia="仿宋" w:cs="Times New Roman"/>
          <w:sz w:val="32"/>
          <w:szCs w:val="32"/>
        </w:rPr>
        <w:t>依法依规对其作出相应处罚</w:t>
      </w:r>
      <w:r>
        <w:rPr>
          <w:rFonts w:ascii="仿宋" w:hAnsi="仿宋" w:eastAsia="仿宋" w:cs="Times New Roman"/>
          <w:sz w:val="32"/>
          <w:szCs w:val="32"/>
        </w:rPr>
        <w:t>；交通运输部门吊销其从业资格证</w:t>
      </w:r>
    </w:p>
    <w:p w14:paraId="733D4E8B">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处理落实情况：张信良从业资格证系揭阳市交通运输局配发，新罗区交通运输局已函告揭阳市交通运输局商请吊销张信良从业资格证，并已按规定注销张信良从业资格证。</w:t>
      </w:r>
    </w:p>
    <w:p w14:paraId="1CBFEA55">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三、事故责任单位责任追究落实情况</w:t>
      </w:r>
    </w:p>
    <w:p w14:paraId="40A67742">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（一）</w:t>
      </w:r>
      <w:r>
        <w:rPr>
          <w:rFonts w:ascii="仿宋" w:hAnsi="仿宋" w:eastAsia="仿宋" w:cs="Times New Roman"/>
          <w:b/>
          <w:sz w:val="32"/>
          <w:szCs w:val="32"/>
        </w:rPr>
        <w:t>龙岩鑫洲土石方工程有限公司</w:t>
      </w:r>
    </w:p>
    <w:p w14:paraId="50318254">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处理建议：建议</w:t>
      </w:r>
      <w:r>
        <w:rPr>
          <w:rFonts w:ascii="仿宋" w:hAnsi="仿宋" w:eastAsia="仿宋" w:cs="Times New Roman"/>
          <w:sz w:val="32"/>
          <w:szCs w:val="32"/>
        </w:rPr>
        <w:t>新罗区应急管理局依据《中华人民共和国安全生产法》第一百一十四条第（一）项的规定</w:t>
      </w:r>
      <w:r>
        <w:rPr>
          <w:rFonts w:hint="eastAsia" w:ascii="仿宋" w:hAnsi="仿宋" w:eastAsia="仿宋" w:cs="Times New Roman"/>
          <w:sz w:val="32"/>
          <w:szCs w:val="32"/>
        </w:rPr>
        <w:t>和《生产安全事故罚款处罚规定》</w:t>
      </w:r>
      <w:r>
        <w:rPr>
          <w:rFonts w:ascii="仿宋" w:hAnsi="仿宋" w:eastAsia="仿宋" w:cs="Times New Roman"/>
          <w:sz w:val="32"/>
          <w:szCs w:val="32"/>
        </w:rPr>
        <w:t>第十四条第（二）项的规定</w:t>
      </w:r>
      <w:r>
        <w:rPr>
          <w:rFonts w:hint="eastAsia" w:ascii="仿宋" w:hAnsi="仿宋" w:eastAsia="仿宋"/>
          <w:sz w:val="32"/>
          <w:szCs w:val="32"/>
        </w:rPr>
        <w:t>规定对其进行行政处罚。</w:t>
      </w:r>
    </w:p>
    <w:p w14:paraId="218FB54F">
      <w:pPr>
        <w:spacing w:after="0" w:line="600" w:lineRule="exact"/>
        <w:ind w:firstLine="640" w:firstLineChars="200"/>
        <w:rPr>
          <w:rFonts w:ascii="仿宋" w:hAnsi="仿宋" w:eastAsia="仿宋"/>
          <w:sz w:val="32"/>
          <w:szCs w:val="32"/>
        </w:rPr>
      </w:pPr>
      <w:r>
        <w:rPr>
          <w:rFonts w:hint="eastAsia" w:ascii="仿宋" w:hAnsi="仿宋" w:eastAsia="仿宋"/>
          <w:sz w:val="32"/>
          <w:szCs w:val="32"/>
        </w:rPr>
        <w:t>处理落实情况：2024年7月22日，新罗区应急管理局对其给予500000元罚款的行政处罚；2024年9月11日，已缴清</w:t>
      </w:r>
      <w:r>
        <w:rPr>
          <w:rFonts w:hint="eastAsia" w:ascii="仿宋" w:hAnsi="仿宋" w:eastAsia="仿宋" w:cs="Times New Roman"/>
          <w:sz w:val="32"/>
          <w:szCs w:val="32"/>
        </w:rPr>
        <w:t>5000</w:t>
      </w:r>
      <w:r>
        <w:rPr>
          <w:rFonts w:ascii="仿宋" w:hAnsi="仿宋" w:eastAsia="仿宋" w:cs="Times New Roman"/>
          <w:sz w:val="32"/>
          <w:szCs w:val="32"/>
        </w:rPr>
        <w:t>00元</w:t>
      </w:r>
      <w:r>
        <w:rPr>
          <w:rFonts w:hint="eastAsia" w:ascii="仿宋" w:hAnsi="仿宋" w:eastAsia="仿宋"/>
          <w:sz w:val="32"/>
          <w:szCs w:val="32"/>
        </w:rPr>
        <w:t>行政处罚款。</w:t>
      </w:r>
    </w:p>
    <w:p w14:paraId="0D555A04">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四、事故发生单位整改措施落实情况</w:t>
      </w:r>
    </w:p>
    <w:p w14:paraId="3A07C410">
      <w:pPr>
        <w:spacing w:after="0" w:line="600" w:lineRule="exact"/>
        <w:ind w:firstLine="643" w:firstLineChars="200"/>
        <w:rPr>
          <w:rFonts w:ascii="仿宋" w:hAnsi="仿宋" w:eastAsia="仿宋" w:cs="仿宋_GB2312"/>
          <w:b/>
          <w:bCs/>
          <w:sz w:val="32"/>
          <w:szCs w:val="32"/>
        </w:rPr>
      </w:pPr>
      <w:r>
        <w:rPr>
          <w:rFonts w:ascii="仿宋" w:hAnsi="仿宋" w:eastAsia="仿宋" w:cs="Times New Roman"/>
          <w:b/>
          <w:sz w:val="32"/>
          <w:szCs w:val="32"/>
        </w:rPr>
        <w:t>龙岩鑫洲土石方工程有限公司</w:t>
      </w:r>
    </w:p>
    <w:p w14:paraId="6E710BD4">
      <w:pPr>
        <w:spacing w:after="0" w:line="600" w:lineRule="exact"/>
        <w:ind w:firstLine="643" w:firstLineChars="200"/>
        <w:rPr>
          <w:rFonts w:ascii="仿宋" w:hAnsi="仿宋" w:eastAsia="仿宋" w:cs="仿宋_GB2312"/>
          <w:bCs/>
          <w:sz w:val="32"/>
          <w:szCs w:val="32"/>
        </w:rPr>
      </w:pPr>
      <w:r>
        <w:rPr>
          <w:rFonts w:hint="eastAsia" w:ascii="仿宋" w:hAnsi="仿宋" w:eastAsia="仿宋" w:cs="仿宋_GB2312"/>
          <w:b/>
          <w:bCs/>
          <w:sz w:val="32"/>
          <w:szCs w:val="32"/>
        </w:rPr>
        <w:t>（一）严格安全生产主体责任的落实。</w:t>
      </w:r>
      <w:r>
        <w:rPr>
          <w:rFonts w:hint="eastAsia" w:ascii="仿宋" w:hAnsi="仿宋" w:eastAsia="仿宋" w:cs="仿宋_GB2312"/>
          <w:bCs/>
          <w:sz w:val="32"/>
          <w:szCs w:val="32"/>
        </w:rPr>
        <w:t>进一步提高对安全生产认识，</w:t>
      </w:r>
      <w:r>
        <w:rPr>
          <w:rFonts w:hint="eastAsia" w:ascii="仿宋" w:hAnsi="仿宋" w:eastAsia="仿宋" w:cs="宋体"/>
          <w:sz w:val="32"/>
          <w:szCs w:val="32"/>
        </w:rPr>
        <w:t>完善公司各项规章制度，制定了现场管理岗位职责，要求现场管理一定要格尽职守，严格把控好安全管理的第一关，必须对进入工地的车辆进行严格把关，不允许未经安排的车辆进入工地，现场管理不得擅离职守。要求车辆管理员每天必须做好详细车辆工作安排，每天不定时到各工地及路面巡查，发现有车辆乱串工地，必须严厉制止，责令返回，并通报批评。</w:t>
      </w:r>
      <w:r>
        <w:rPr>
          <w:rFonts w:hint="eastAsia" w:ascii="仿宋" w:hAnsi="仿宋" w:eastAsia="仿宋" w:cs="仿宋_GB2312"/>
          <w:bCs/>
          <w:sz w:val="32"/>
          <w:szCs w:val="32"/>
        </w:rPr>
        <w:t>深化安全生产管理工作，确保安全生产各项工作管理保障和落实。</w:t>
      </w:r>
    </w:p>
    <w:p w14:paraId="2BB2EBD9">
      <w:pPr>
        <w:spacing w:after="0" w:line="60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（二）强化驾驶员安全管理。</w:t>
      </w:r>
      <w:r>
        <w:rPr>
          <w:rFonts w:ascii="仿宋" w:hAnsi="仿宋" w:eastAsia="仿宋" w:cs="宋体"/>
          <w:sz w:val="32"/>
          <w:szCs w:val="32"/>
        </w:rPr>
        <w:t>组织全体从业人员开展事故警示教育提高驾驶员的安全意识</w:t>
      </w:r>
      <w:r>
        <w:rPr>
          <w:rFonts w:hint="eastAsia" w:ascii="仿宋" w:hAnsi="仿宋" w:eastAsia="仿宋" w:cs="宋体"/>
          <w:sz w:val="32"/>
          <w:szCs w:val="32"/>
        </w:rPr>
        <w:t>，</w:t>
      </w:r>
      <w:r>
        <w:rPr>
          <w:rFonts w:ascii="仿宋" w:hAnsi="仿宋" w:eastAsia="仿宋" w:cs="宋体"/>
          <w:sz w:val="32"/>
          <w:szCs w:val="32"/>
        </w:rPr>
        <w:t>要求驾驶员深刻吸取事故教训，</w:t>
      </w:r>
      <w:r>
        <w:rPr>
          <w:rFonts w:hint="eastAsia" w:ascii="仿宋" w:hAnsi="仿宋" w:eastAsia="仿宋" w:cs="宋体"/>
          <w:sz w:val="32"/>
          <w:szCs w:val="32"/>
        </w:rPr>
        <w:t>必须按照公司每天工作安排进入工地，不得私自乱串工地，</w:t>
      </w:r>
      <w:r>
        <w:rPr>
          <w:rFonts w:ascii="仿宋" w:hAnsi="仿宋" w:eastAsia="仿宋" w:cs="宋体"/>
          <w:sz w:val="32"/>
          <w:szCs w:val="32"/>
        </w:rPr>
        <w:t>做好车辆日常检查工作，</w:t>
      </w:r>
      <w:r>
        <w:rPr>
          <w:rFonts w:hint="eastAsia" w:ascii="仿宋" w:hAnsi="仿宋" w:eastAsia="仿宋"/>
          <w:sz w:val="32"/>
          <w:szCs w:val="32"/>
        </w:rPr>
        <w:t>需</w:t>
      </w:r>
      <w:r>
        <w:rPr>
          <w:rFonts w:hint="eastAsia" w:ascii="仿宋" w:hAnsi="仿宋" w:eastAsia="仿宋" w:cstheme="minorEastAsia"/>
          <w:spacing w:val="23"/>
          <w:sz w:val="32"/>
          <w:szCs w:val="32"/>
          <w:shd w:val="clear" w:color="auto" w:fill="FFFFFF"/>
        </w:rPr>
        <w:t>严格遵守各项交通安全法律法规，</w:t>
      </w:r>
      <w:r>
        <w:rPr>
          <w:rFonts w:ascii="仿宋" w:hAnsi="仿宋" w:eastAsia="仿宋" w:cs="宋体"/>
          <w:sz w:val="32"/>
          <w:szCs w:val="32"/>
        </w:rPr>
        <w:t>出车途中要留意道路情况，</w:t>
      </w:r>
      <w:r>
        <w:rPr>
          <w:rFonts w:hint="eastAsia" w:ascii="仿宋" w:hAnsi="仿宋" w:eastAsia="仿宋"/>
          <w:sz w:val="32"/>
          <w:szCs w:val="32"/>
        </w:rPr>
        <w:t>控制车速，保持安全车距</w:t>
      </w:r>
      <w:r>
        <w:rPr>
          <w:rFonts w:hint="eastAsia" w:ascii="仿宋" w:hAnsi="仿宋" w:eastAsia="仿宋" w:cstheme="minorEastAsia"/>
          <w:spacing w:val="23"/>
          <w:sz w:val="32"/>
          <w:szCs w:val="32"/>
          <w:shd w:val="clear" w:color="auto" w:fill="FFFFFF"/>
        </w:rPr>
        <w:t>；特别是在接近红绿灯时，一定要按道行驶，严禁压线。时刻观察路面情况，尤其在行人较多的路段，过人行横道和路口时，需停车观望，礼让行人，</w:t>
      </w:r>
      <w:r>
        <w:rPr>
          <w:rFonts w:ascii="仿宋" w:hAnsi="仿宋" w:eastAsia="仿宋" w:cs="宋体"/>
          <w:sz w:val="32"/>
          <w:szCs w:val="32"/>
        </w:rPr>
        <w:t>提高警惕</w:t>
      </w:r>
      <w:r>
        <w:rPr>
          <w:rFonts w:hint="eastAsia" w:ascii="仿宋" w:hAnsi="仿宋" w:eastAsia="仿宋" w:cs="仿宋_GB2312"/>
          <w:bCs/>
          <w:sz w:val="32"/>
          <w:szCs w:val="32"/>
        </w:rPr>
        <w:t>。</w:t>
      </w:r>
    </w:p>
    <w:p w14:paraId="360AFB27">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五、事故发生地相关部门汲取事故教训、强化整改措施落实情况</w:t>
      </w:r>
    </w:p>
    <w:p w14:paraId="5B65A879">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（一）龙岩市公安局交警支队新罗大队</w:t>
      </w:r>
    </w:p>
    <w:p w14:paraId="0B5D5B3F">
      <w:pPr>
        <w:pStyle w:val="3"/>
        <w:spacing w:line="60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1.</w:t>
      </w:r>
      <w:r>
        <w:rPr>
          <w:rFonts w:hint="eastAsia" w:ascii="仿宋" w:hAnsi="仿宋" w:eastAsia="仿宋" w:cs="仿宋_GB2312"/>
          <w:b/>
          <w:sz w:val="32"/>
          <w:szCs w:val="32"/>
        </w:rPr>
        <w:t>深入分析。</w:t>
      </w:r>
      <w:r>
        <w:rPr>
          <w:rFonts w:hint="eastAsia" w:ascii="仿宋" w:hAnsi="仿宋" w:eastAsia="仿宋" w:cs="仿宋_GB2312"/>
          <w:sz w:val="32"/>
          <w:szCs w:val="32"/>
        </w:rPr>
        <w:t>分析辖区重中型货车交通流量及违法、事故的规律和特点，查找辖区重中型货车交通违法查纠短板，科学调整勤务，将执法力量向重点路段、重点时段、重点区域延伸，加大巡逻管控力度。针对重中型货车通行的重点路段、重点时段，采取日常查纠执法和突击集中整治相结合的方式，抓住早、中、晚日常管理的盲点时段，严查超限超载等严重交通违法行为，形成严管严查高压态势，并坚持“宣传与整治”相结合，向违法驾驶员广泛宣传超限超载的危害性，要求驾驶员自觉摒弃交通陋习，严格遵守道路交通安全法律法规，</w:t>
      </w:r>
      <w:r>
        <w:rPr>
          <w:rFonts w:hint="eastAsia" w:ascii="仿宋" w:hAnsi="仿宋" w:eastAsia="仿宋" w:cs="仿宋_GB2312"/>
          <w:color w:val="000000"/>
          <w:sz w:val="32"/>
          <w:szCs w:val="32"/>
        </w:rPr>
        <w:t>3月20日以来，共查处大型货车交通违法13724起，其中超载1051起</w:t>
      </w:r>
      <w:r>
        <w:rPr>
          <w:rFonts w:hint="eastAsia" w:ascii="仿宋" w:hAnsi="仿宋" w:eastAsia="仿宋" w:cs="仿宋_GB2312"/>
          <w:sz w:val="32"/>
          <w:szCs w:val="32"/>
        </w:rPr>
        <w:t>。</w:t>
      </w:r>
    </w:p>
    <w:p w14:paraId="56BD162C">
      <w:pPr>
        <w:pStyle w:val="3"/>
        <w:spacing w:line="60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2.</w:t>
      </w:r>
      <w:r>
        <w:rPr>
          <w:rFonts w:hint="eastAsia" w:ascii="仿宋" w:hAnsi="仿宋" w:eastAsia="仿宋" w:cs="仿宋_GB2312"/>
          <w:b/>
          <w:sz w:val="32"/>
          <w:szCs w:val="32"/>
        </w:rPr>
        <w:t>强化联勤联动。</w:t>
      </w:r>
      <w:r>
        <w:rPr>
          <w:rFonts w:hint="eastAsia" w:ascii="仿宋" w:hAnsi="仿宋" w:eastAsia="仿宋" w:cs="仿宋_GB2312"/>
          <w:sz w:val="32"/>
          <w:szCs w:val="32"/>
        </w:rPr>
        <w:t>常态化与交通执法部门联合开展专项行动，充分发挥“科技治超”力量，通过运用辖区不停车检测的非现场执法监测点的动态监控检测执法系统，实现对超限超载运输行为的24小时监控，结合执法监管查处，进一步打击及遏制车辆超限超载运输的违法行为，有效震慑和遏制超限超载违法行为，提高治超效率。</w:t>
      </w:r>
    </w:p>
    <w:p w14:paraId="1EFB410B">
      <w:pPr>
        <w:pStyle w:val="3"/>
        <w:spacing w:line="600" w:lineRule="exact"/>
        <w:ind w:firstLine="643" w:firstLineChars="200"/>
        <w:rPr>
          <w:rFonts w:ascii="仿宋" w:hAnsi="仿宋" w:eastAsia="仿宋" w:cs="仿宋_GB2312"/>
          <w:color w:val="000000"/>
          <w:sz w:val="32"/>
          <w:szCs w:val="32"/>
        </w:rPr>
      </w:pPr>
      <w:r>
        <w:rPr>
          <w:rFonts w:hint="eastAsia" w:ascii="仿宋" w:hAnsi="仿宋" w:eastAsia="仿宋" w:cs="仿宋_GB2312"/>
          <w:b/>
          <w:bCs/>
          <w:color w:val="000000"/>
          <w:kern w:val="21"/>
          <w:sz w:val="32"/>
          <w:szCs w:val="32"/>
        </w:rPr>
        <w:t>3.</w:t>
      </w:r>
      <w:r>
        <w:rPr>
          <w:rFonts w:hint="eastAsia" w:ascii="仿宋" w:hAnsi="仿宋" w:eastAsia="仿宋" w:cs="仿宋_GB2312"/>
          <w:b/>
          <w:color w:val="000000"/>
          <w:kern w:val="21"/>
          <w:sz w:val="32"/>
          <w:szCs w:val="32"/>
        </w:rPr>
        <w:t>开展精准打击。</w:t>
      </w:r>
      <w:r>
        <w:rPr>
          <w:rFonts w:hint="eastAsia" w:ascii="仿宋" w:hAnsi="仿宋" w:eastAsia="仿宋" w:cs="仿宋_GB2312"/>
          <w:kern w:val="21"/>
          <w:sz w:val="32"/>
          <w:szCs w:val="32"/>
        </w:rPr>
        <w:t>充分发挥数据靶向作用，做好“科技+执法”“机器+人力”加法，充分运用“AI+交管”系统，精准查处大型货车违反禁令驶入限行路段，</w:t>
      </w:r>
      <w:r>
        <w:rPr>
          <w:rFonts w:hint="eastAsia" w:ascii="仿宋" w:hAnsi="仿宋" w:eastAsia="仿宋" w:cs="仿宋_GB2312"/>
          <w:color w:val="000000"/>
          <w:sz w:val="32"/>
          <w:szCs w:val="32"/>
        </w:rPr>
        <w:t>3月20日以来，共查处</w:t>
      </w:r>
      <w:r>
        <w:rPr>
          <w:rFonts w:hint="eastAsia" w:ascii="仿宋" w:hAnsi="仿宋" w:eastAsia="仿宋" w:cs="仿宋_GB2312"/>
          <w:kern w:val="21"/>
          <w:sz w:val="32"/>
          <w:szCs w:val="32"/>
        </w:rPr>
        <w:t>大型货车</w:t>
      </w:r>
      <w:r>
        <w:rPr>
          <w:rFonts w:hint="eastAsia" w:ascii="仿宋" w:hAnsi="仿宋" w:eastAsia="仿宋" w:cs="仿宋_GB2312"/>
          <w:color w:val="000000"/>
          <w:sz w:val="32"/>
          <w:szCs w:val="32"/>
        </w:rPr>
        <w:t>违反禁令2896起。</w:t>
      </w:r>
    </w:p>
    <w:p w14:paraId="2808E8AD">
      <w:pPr>
        <w:pStyle w:val="3"/>
        <w:spacing w:line="600" w:lineRule="exact"/>
        <w:ind w:firstLine="643" w:firstLineChars="200"/>
        <w:rPr>
          <w:rFonts w:ascii="仿宋" w:hAnsi="仿宋" w:eastAsia="仿宋" w:cs="仿宋_GB2312"/>
          <w:color w:val="000000"/>
          <w:sz w:val="32"/>
          <w:szCs w:val="32"/>
        </w:rPr>
      </w:pPr>
      <w:r>
        <w:rPr>
          <w:rFonts w:hint="eastAsia" w:ascii="仿宋" w:hAnsi="仿宋" w:eastAsia="仿宋" w:cs="仿宋_GB2312"/>
          <w:b/>
          <w:bCs/>
          <w:kern w:val="21"/>
          <w:sz w:val="32"/>
          <w:szCs w:val="32"/>
        </w:rPr>
        <w:t>4.</w:t>
      </w:r>
      <w:r>
        <w:rPr>
          <w:rFonts w:hint="eastAsia" w:ascii="仿宋" w:hAnsi="仿宋" w:eastAsia="仿宋" w:cs="仿宋_GB2312"/>
          <w:b/>
          <w:color w:val="000000"/>
          <w:sz w:val="32"/>
          <w:szCs w:val="32"/>
        </w:rPr>
        <w:t>强化教育宣传。</w:t>
      </w:r>
      <w:r>
        <w:rPr>
          <w:rFonts w:hint="eastAsia" w:ascii="仿宋" w:hAnsi="仿宋" w:eastAsia="仿宋" w:cs="仿宋_GB2312"/>
          <w:color w:val="000000"/>
          <w:sz w:val="32"/>
          <w:szCs w:val="32"/>
        </w:rPr>
        <w:t>深入企业宣传，宣传有关法律法规、政策文件规定等，通过典型案例警示教育，实现查处一起教育一片的良好效果，让运输企业、车辆所属公司和挂靠公司、工地工厂，乃至每一个责任人、驾驶员、安全员等货运行业交通参与者提高安全生产“自律”意识。3月20日以来，共组织开展进企业宣传（含线上宣传）72场，发放宣传材料30000余张。</w:t>
      </w:r>
    </w:p>
    <w:p w14:paraId="6A073AFC">
      <w:pPr>
        <w:spacing w:after="0" w:line="600" w:lineRule="exact"/>
        <w:ind w:firstLine="643" w:firstLineChars="200"/>
        <w:rPr>
          <w:rFonts w:ascii="仿宋" w:hAnsi="仿宋" w:eastAsia="仿宋"/>
          <w:b/>
          <w:sz w:val="32"/>
          <w:szCs w:val="32"/>
        </w:rPr>
      </w:pPr>
      <w:r>
        <w:rPr>
          <w:rFonts w:hint="eastAsia" w:ascii="仿宋" w:hAnsi="仿宋" w:eastAsia="仿宋"/>
          <w:b/>
          <w:sz w:val="32"/>
          <w:szCs w:val="32"/>
        </w:rPr>
        <w:t>（二）新罗区交通运输局</w:t>
      </w:r>
    </w:p>
    <w:p w14:paraId="00D414D5">
      <w:pPr>
        <w:widowControl w:val="0"/>
        <w:adjustRightInd/>
        <w:snapToGrid/>
        <w:spacing w:after="0" w:line="600" w:lineRule="exact"/>
        <w:ind w:firstLine="643" w:firstLineChars="200"/>
        <w:rPr>
          <w:rFonts w:ascii="仿宋" w:hAnsi="仿宋" w:eastAsia="仿宋" w:cs="仿宋"/>
          <w:sz w:val="32"/>
          <w:szCs w:val="32"/>
        </w:rPr>
      </w:pPr>
      <w:r>
        <w:rPr>
          <w:rFonts w:hint="eastAsia" w:ascii="仿宋" w:hAnsi="仿宋" w:eastAsia="仿宋" w:cs="仿宋"/>
          <w:b/>
          <w:sz w:val="32"/>
          <w:szCs w:val="32"/>
        </w:rPr>
        <w:t>1.对涉事企业开展专项约谈。</w:t>
      </w:r>
      <w:r>
        <w:rPr>
          <w:rFonts w:hint="eastAsia" w:ascii="仿宋" w:hAnsi="仿宋" w:eastAsia="仿宋" w:cs="仿宋"/>
          <w:sz w:val="32"/>
          <w:szCs w:val="32"/>
        </w:rPr>
        <w:t>事故发生后于4月16日到企业现场对涉事企业的法人代表、安全管理人员开展了事故整改专项约谈工作，帮助企业分析事故原因，指导事故善后工作。</w:t>
      </w:r>
    </w:p>
    <w:p w14:paraId="3FEEA8EB">
      <w:pPr>
        <w:widowControl w:val="0"/>
        <w:adjustRightInd/>
        <w:snapToGrid/>
        <w:spacing w:after="0" w:line="600" w:lineRule="exact"/>
        <w:ind w:firstLine="643" w:firstLineChars="200"/>
        <w:rPr>
          <w:rFonts w:ascii="仿宋" w:hAnsi="仿宋" w:eastAsia="仿宋" w:cs="仿宋"/>
          <w:sz w:val="32"/>
          <w:szCs w:val="32"/>
        </w:rPr>
      </w:pPr>
      <w:r>
        <w:rPr>
          <w:rFonts w:hint="eastAsia" w:ascii="仿宋" w:hAnsi="仿宋" w:eastAsia="仿宋" w:cs="仿宋"/>
          <w:b/>
          <w:sz w:val="32"/>
          <w:szCs w:val="32"/>
        </w:rPr>
        <w:t>2.下沉事故企业“回头看”。</w:t>
      </w:r>
      <w:r>
        <w:rPr>
          <w:rFonts w:hint="eastAsia" w:ascii="仿宋" w:hAnsi="仿宋" w:eastAsia="仿宋" w:cs="仿宋"/>
          <w:sz w:val="32"/>
          <w:szCs w:val="32"/>
        </w:rPr>
        <w:t>出动24人次对涉事故企业开展了安全生产检查及服务指导工作，发现问题隐患4处，均已按要求整改完成，并指导企业根据事故“四不放过”原则开展后续整改工作，加强驾驶员应急性、防御性驾驶培训与教育，加强“两超一疲劳”红线教育。</w:t>
      </w:r>
    </w:p>
    <w:p w14:paraId="3E699F8F">
      <w:pPr>
        <w:widowControl w:val="0"/>
        <w:adjustRightInd/>
        <w:snapToGrid/>
        <w:spacing w:after="0" w:line="600" w:lineRule="exact"/>
        <w:ind w:firstLine="643" w:firstLineChars="200"/>
        <w:rPr>
          <w:rFonts w:ascii="仿宋" w:hAnsi="仿宋" w:eastAsia="仿宋" w:cs="Times New Roman"/>
          <w:bCs/>
          <w:sz w:val="32"/>
          <w:szCs w:val="32"/>
        </w:rPr>
      </w:pPr>
      <w:r>
        <w:rPr>
          <w:rFonts w:hint="eastAsia" w:ascii="仿宋" w:hAnsi="仿宋" w:eastAsia="仿宋" w:cs="仿宋"/>
          <w:b/>
          <w:sz w:val="32"/>
          <w:szCs w:val="32"/>
        </w:rPr>
        <w:t>3.强化企业服务指导。</w:t>
      </w:r>
      <w:r>
        <w:rPr>
          <w:rFonts w:hint="eastAsia" w:ascii="仿宋" w:hAnsi="仿宋" w:eastAsia="仿宋" w:cs="仿宋"/>
          <w:sz w:val="32"/>
          <w:szCs w:val="32"/>
        </w:rPr>
        <w:t>结合道路运输实际，研究印制了道路货运企业《基础信息台账指引》，并制定了《服务运输企业高质量发展“1+N” 联动工作方案》，以《基础信息台账指引》为基础，开创干部“1对多”挂钩帮扶的方式，加强了运输企业的服务指导工作，活动开展以来，我局共出动工作人员</w:t>
      </w:r>
      <w:r>
        <w:rPr>
          <w:rFonts w:hint="eastAsia" w:ascii="仿宋" w:hAnsi="仿宋" w:eastAsia="仿宋" w:cs="Times New Roman"/>
          <w:bCs/>
          <w:sz w:val="32"/>
          <w:szCs w:val="32"/>
        </w:rPr>
        <w:t>下沉企业一线864人次，服务指导企业277家次，发现349处一般隐患，均已整改完成。</w:t>
      </w:r>
    </w:p>
    <w:p w14:paraId="3EE3EDC6">
      <w:pPr>
        <w:widowControl w:val="0"/>
        <w:adjustRightInd/>
        <w:snapToGrid/>
        <w:spacing w:after="0" w:line="600" w:lineRule="exact"/>
        <w:ind w:firstLine="643" w:firstLineChars="200"/>
        <w:rPr>
          <w:rFonts w:ascii="仿宋" w:hAnsi="仿宋" w:eastAsia="仿宋" w:cs="Times New Roman"/>
          <w:bCs/>
          <w:sz w:val="32"/>
          <w:szCs w:val="32"/>
        </w:rPr>
      </w:pPr>
      <w:r>
        <w:rPr>
          <w:rFonts w:hint="eastAsia" w:ascii="仿宋" w:hAnsi="仿宋" w:eastAsia="仿宋" w:cs="Times New Roman"/>
          <w:b/>
          <w:bCs/>
          <w:sz w:val="32"/>
          <w:szCs w:val="32"/>
        </w:rPr>
        <w:t>4.加强重点人员培训。</w:t>
      </w:r>
      <w:r>
        <w:rPr>
          <w:rFonts w:hint="eastAsia" w:ascii="仿宋" w:hAnsi="仿宋" w:eastAsia="仿宋" w:cs="Times New Roman"/>
          <w:bCs/>
          <w:sz w:val="32"/>
          <w:szCs w:val="32"/>
        </w:rPr>
        <w:t>结合不同时段特点，召开了4场交通运输行业企业主要负责人及安全管理人员培训会，培训会邀请了安全生产、交通、消防等领域安全专家分别就安全生产主体责任、交通运输领域双重预防机制、消防安全等方面的安全知识对企业“两类人员”进行了现场培训，有效提升了企业主要负责人及安全管理人员履行企业主体责任意识，提高企业安全生产管理水平。培训会累计参加企业488家次，参加培训人员976人次。</w:t>
      </w:r>
    </w:p>
    <w:p w14:paraId="7E3F2A9E">
      <w:pPr>
        <w:spacing w:after="0" w:line="600" w:lineRule="exact"/>
        <w:ind w:firstLine="643" w:firstLineChars="200"/>
        <w:rPr>
          <w:rFonts w:ascii="仿宋" w:hAnsi="仿宋" w:eastAsia="仿宋" w:cs="仿宋_GB2312"/>
          <w:sz w:val="32"/>
          <w:szCs w:val="32"/>
        </w:rPr>
      </w:pPr>
      <w:r>
        <w:rPr>
          <w:rFonts w:hint="eastAsia" w:ascii="仿宋" w:hAnsi="仿宋" w:eastAsia="仿宋" w:cs="Times New Roman"/>
          <w:b/>
          <w:bCs/>
          <w:sz w:val="32"/>
          <w:szCs w:val="32"/>
        </w:rPr>
        <w:t>5.强化协作机制。</w:t>
      </w:r>
      <w:r>
        <w:rPr>
          <w:rFonts w:hint="eastAsia" w:ascii="仿宋" w:hAnsi="仿宋" w:eastAsia="仿宋" w:cs="仿宋_GB2312"/>
          <w:sz w:val="32"/>
          <w:szCs w:val="32"/>
        </w:rPr>
        <w:t>结合五一、中秋国庆等重大节假日及重要时间节点对道路运输企业开展检查，共派遣工作人员216人次，联合检查企业112家次，检查发现问题36处，均已按要求整改完成。</w:t>
      </w:r>
    </w:p>
    <w:p w14:paraId="5056B7C5">
      <w:pPr>
        <w:spacing w:after="0" w:line="600" w:lineRule="exact"/>
        <w:ind w:firstLine="643" w:firstLineChars="200"/>
        <w:rPr>
          <w:rFonts w:ascii="仿宋" w:hAnsi="仿宋" w:eastAsia="仿宋" w:cs="仿宋_GB2312"/>
          <w:b/>
          <w:bCs/>
          <w:color w:val="000000"/>
          <w:sz w:val="32"/>
          <w:szCs w:val="32"/>
        </w:rPr>
      </w:pPr>
      <w:r>
        <w:rPr>
          <w:rFonts w:hint="eastAsia" w:ascii="仿宋" w:hAnsi="仿宋" w:eastAsia="仿宋" w:cs="仿宋_GB2312"/>
          <w:b/>
          <w:bCs/>
          <w:color w:val="000000"/>
          <w:sz w:val="32"/>
          <w:szCs w:val="32"/>
        </w:rPr>
        <w:t>六、评估结论意见</w:t>
      </w:r>
    </w:p>
    <w:p w14:paraId="2E5E4DF0">
      <w:pPr>
        <w:spacing w:after="0"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经过评估，2024年新罗“3</w:t>
      </w:r>
      <w:r>
        <w:rPr>
          <w:rFonts w:hint="eastAsia" w:ascii="仿宋" w:hAnsi="仿宋" w:eastAsia="仿宋" w:cs="仿宋_GB2312"/>
          <w:bCs/>
          <w:sz w:val="32"/>
          <w:szCs w:val="32"/>
        </w:rPr>
        <w:t>·</w:t>
      </w:r>
      <w:r>
        <w:rPr>
          <w:rFonts w:hint="eastAsia" w:ascii="仿宋" w:hAnsi="仿宋" w:eastAsia="仿宋"/>
          <w:color w:val="000000"/>
          <w:sz w:val="32"/>
          <w:szCs w:val="32"/>
        </w:rPr>
        <w:t>19”一般道路交通事故中各相关责任单位基本认真落实《龙岩市新罗区人民政府关于新罗“3</w:t>
      </w:r>
      <w:r>
        <w:rPr>
          <w:rFonts w:hint="eastAsia" w:ascii="仿宋" w:hAnsi="仿宋" w:eastAsia="仿宋" w:cs="仿宋_GB2312"/>
          <w:bCs/>
          <w:sz w:val="32"/>
          <w:szCs w:val="32"/>
        </w:rPr>
        <w:t>·</w:t>
      </w:r>
      <w:r>
        <w:rPr>
          <w:rFonts w:hint="eastAsia" w:ascii="仿宋" w:hAnsi="仿宋" w:eastAsia="仿宋"/>
          <w:color w:val="000000"/>
          <w:sz w:val="32"/>
          <w:szCs w:val="32"/>
        </w:rPr>
        <w:t>19”一般道路事故调查报告的批复》（龙新政综〔2024〕103号）中的各项事故防范和整改措施建议。</w:t>
      </w:r>
    </w:p>
    <w:p w14:paraId="560244B3">
      <w:pPr>
        <w:spacing w:after="0" w:line="600" w:lineRule="exact"/>
        <w:ind w:firstLine="640" w:firstLineChars="200"/>
        <w:rPr>
          <w:rFonts w:ascii="仿宋" w:hAnsi="仿宋" w:eastAsia="仿宋" w:cs="仿宋_GB2312"/>
          <w:color w:val="000000"/>
          <w:sz w:val="32"/>
          <w:szCs w:val="32"/>
        </w:rPr>
      </w:pPr>
    </w:p>
    <w:p w14:paraId="165FD3C9">
      <w:pPr>
        <w:spacing w:after="0" w:line="600" w:lineRule="exact"/>
        <w:ind w:left="1629" w:leftChars="304" w:hanging="960" w:hangingChars="300"/>
        <w:rPr>
          <w:rFonts w:ascii="仿宋" w:hAnsi="仿宋" w:eastAsia="仿宋" w:cs="仿宋_GB2312"/>
          <w:color w:val="000000"/>
          <w:sz w:val="32"/>
          <w:szCs w:val="32"/>
        </w:rPr>
      </w:pPr>
      <w:r>
        <w:rPr>
          <w:rFonts w:hint="eastAsia" w:ascii="仿宋" w:hAnsi="仿宋" w:eastAsia="仿宋" w:cs="仿宋_GB2312"/>
          <w:color w:val="000000"/>
          <w:sz w:val="32"/>
          <w:szCs w:val="32"/>
        </w:rPr>
        <w:t>附件：2024年新罗“3</w:t>
      </w:r>
      <w:r>
        <w:rPr>
          <w:rFonts w:hint="eastAsia" w:ascii="仿宋" w:hAnsi="仿宋" w:eastAsia="仿宋" w:cs="仿宋_GB2312"/>
          <w:bCs/>
          <w:sz w:val="32"/>
          <w:szCs w:val="32"/>
        </w:rPr>
        <w:t>·</w:t>
      </w:r>
      <w:r>
        <w:rPr>
          <w:rFonts w:hint="eastAsia" w:ascii="仿宋" w:hAnsi="仿宋" w:eastAsia="仿宋" w:cs="仿宋_GB2312"/>
          <w:color w:val="000000"/>
          <w:sz w:val="32"/>
          <w:szCs w:val="32"/>
        </w:rPr>
        <w:t>19”一般道路交通事故评估组成员名单</w:t>
      </w:r>
    </w:p>
    <w:p w14:paraId="1C870395">
      <w:pPr>
        <w:spacing w:after="0" w:line="600" w:lineRule="exact"/>
        <w:ind w:firstLine="640" w:firstLineChars="200"/>
        <w:rPr>
          <w:rFonts w:ascii="仿宋" w:hAnsi="仿宋" w:eastAsia="仿宋"/>
          <w:color w:val="000000"/>
          <w:sz w:val="32"/>
          <w:szCs w:val="32"/>
        </w:rPr>
      </w:pPr>
    </w:p>
    <w:p w14:paraId="19FE065E">
      <w:pPr>
        <w:pStyle w:val="4"/>
        <w:spacing w:after="0" w:line="600" w:lineRule="exact"/>
        <w:ind w:firstLine="2240" w:firstLineChars="700"/>
        <w:rPr>
          <w:rFonts w:ascii="仿宋" w:hAnsi="仿宋" w:eastAsia="仿宋"/>
          <w:color w:val="000000"/>
          <w:sz w:val="32"/>
          <w:szCs w:val="32"/>
        </w:rPr>
      </w:pPr>
    </w:p>
    <w:p w14:paraId="438DDBA1">
      <w:pPr>
        <w:pStyle w:val="4"/>
        <w:spacing w:after="0" w:line="600" w:lineRule="exact"/>
        <w:ind w:firstLine="1760" w:firstLineChars="550"/>
        <w:rPr>
          <w:rFonts w:ascii="仿宋" w:hAnsi="仿宋" w:eastAsia="仿宋"/>
          <w:color w:val="000000"/>
          <w:sz w:val="32"/>
          <w:szCs w:val="32"/>
        </w:rPr>
      </w:pPr>
      <w:r>
        <w:rPr>
          <w:rFonts w:hint="eastAsia" w:ascii="仿宋" w:hAnsi="仿宋" w:eastAsia="仿宋"/>
          <w:color w:val="000000"/>
          <w:sz w:val="32"/>
          <w:szCs w:val="32"/>
        </w:rPr>
        <w:t>龙岩市新罗区人民政府安全生产委员会办公室</w:t>
      </w:r>
    </w:p>
    <w:p w14:paraId="1AC56E52">
      <w:pPr>
        <w:spacing w:after="0" w:line="600" w:lineRule="exact"/>
        <w:rPr>
          <w:rFonts w:ascii="仿宋" w:hAnsi="仿宋" w:eastAsia="仿宋"/>
          <w:color w:val="000000"/>
          <w:sz w:val="32"/>
          <w:szCs w:val="32"/>
        </w:rPr>
      </w:pPr>
      <w:r>
        <w:rPr>
          <w:rFonts w:hint="eastAsia" w:ascii="仿宋" w:hAnsi="仿宋" w:eastAsia="仿宋"/>
          <w:color w:val="000000"/>
          <w:sz w:val="32"/>
          <w:szCs w:val="32"/>
        </w:rPr>
        <w:t xml:space="preserve">                         2025年7月1日</w:t>
      </w:r>
    </w:p>
    <w:p w14:paraId="5B8BF627">
      <w:pPr>
        <w:spacing w:after="0" w:line="600" w:lineRule="exact"/>
        <w:rPr>
          <w:rFonts w:ascii="仿宋" w:hAnsi="仿宋" w:eastAsia="仿宋"/>
          <w:color w:val="000000"/>
          <w:sz w:val="32"/>
          <w:szCs w:val="32"/>
        </w:rPr>
      </w:pPr>
    </w:p>
    <w:p w14:paraId="4588D24F">
      <w:pPr>
        <w:spacing w:after="0" w:line="600" w:lineRule="exact"/>
        <w:rPr>
          <w:rFonts w:ascii="仿宋" w:hAnsi="仿宋" w:eastAsia="仿宋"/>
          <w:color w:val="000000"/>
          <w:sz w:val="32"/>
          <w:szCs w:val="32"/>
        </w:rPr>
      </w:pPr>
    </w:p>
    <w:p w14:paraId="6538117B">
      <w:pPr>
        <w:spacing w:after="0" w:line="600" w:lineRule="exact"/>
        <w:rPr>
          <w:rFonts w:ascii="仿宋" w:hAnsi="仿宋" w:eastAsia="仿宋"/>
          <w:color w:val="000000"/>
          <w:sz w:val="32"/>
          <w:szCs w:val="32"/>
        </w:rPr>
      </w:pPr>
    </w:p>
    <w:p w14:paraId="2BBCBE38">
      <w:pPr>
        <w:spacing w:after="0" w:line="600" w:lineRule="exact"/>
        <w:rPr>
          <w:rFonts w:ascii="仿宋" w:hAnsi="仿宋" w:eastAsia="仿宋"/>
          <w:color w:val="000000"/>
          <w:sz w:val="32"/>
          <w:szCs w:val="32"/>
        </w:rPr>
      </w:pPr>
    </w:p>
    <w:p w14:paraId="266FA244">
      <w:pPr>
        <w:spacing w:line="600" w:lineRule="exact"/>
        <w:rPr>
          <w:rFonts w:ascii="黑体" w:hAnsi="黑体" w:eastAsia="黑体" w:cs="黑体"/>
          <w:color w:val="000000"/>
          <w:sz w:val="44"/>
          <w:szCs w:val="44"/>
        </w:rPr>
      </w:pPr>
      <w:r>
        <w:rPr>
          <w:rFonts w:hint="eastAsia" w:ascii="黑体" w:hAnsi="黑体" w:eastAsia="黑体" w:cs="黑体"/>
          <w:color w:val="000000"/>
          <w:sz w:val="32"/>
          <w:szCs w:val="32"/>
        </w:rPr>
        <w:t>附件</w:t>
      </w:r>
    </w:p>
    <w:p w14:paraId="45662127">
      <w:pPr>
        <w:spacing w:line="600" w:lineRule="exact"/>
        <w:jc w:val="center"/>
        <w:rPr>
          <w:rFonts w:ascii="方正小标宋简体" w:hAnsi="方正小标宋简体" w:eastAsia="方正小标宋简体" w:cs="方正小标宋简体"/>
          <w:color w:val="000000"/>
          <w:sz w:val="44"/>
          <w:szCs w:val="44"/>
        </w:rPr>
      </w:pPr>
    </w:p>
    <w:p w14:paraId="50E50EC3">
      <w:pPr>
        <w:spacing w:line="600" w:lineRule="exact"/>
        <w:jc w:val="center"/>
        <w:rPr>
          <w:rFonts w:ascii="Times New Roman" w:hAnsi="方正小标宋简体" w:eastAsia="方正小标宋简体" w:cs="方正小标宋简体"/>
          <w:sz w:val="44"/>
          <w:szCs w:val="44"/>
        </w:rPr>
      </w:pPr>
      <w:r>
        <w:rPr>
          <w:rFonts w:hint="eastAsia" w:ascii="Times New Roman" w:hAnsi="方正小标宋简体" w:eastAsia="方正小标宋简体" w:cs="方正小标宋简体"/>
          <w:sz w:val="44"/>
          <w:szCs w:val="44"/>
        </w:rPr>
        <w:t>2024年新罗</w:t>
      </w:r>
      <w:r>
        <w:rPr>
          <w:rFonts w:hint="eastAsia" w:ascii="Times New Roman" w:hAnsi="Times New Roman" w:eastAsia="方正小标宋简体" w:cs="方正小标宋简体"/>
          <w:sz w:val="44"/>
          <w:szCs w:val="44"/>
        </w:rPr>
        <w:t>“3·19”</w:t>
      </w:r>
      <w:r>
        <w:rPr>
          <w:rFonts w:hint="eastAsia" w:ascii="Times New Roman" w:hAnsi="方正小标宋简体" w:eastAsia="方正小标宋简体" w:cs="方正小标宋简体"/>
          <w:sz w:val="44"/>
          <w:szCs w:val="44"/>
        </w:rPr>
        <w:t>一般道路</w:t>
      </w:r>
    </w:p>
    <w:p w14:paraId="0C17235D">
      <w:pPr>
        <w:spacing w:line="600" w:lineRule="exact"/>
        <w:jc w:val="center"/>
        <w:rPr>
          <w:rFonts w:ascii="方正小标宋简体" w:hAnsi="方正小标宋简体" w:eastAsia="方正小标宋简体" w:cs="方正小标宋简体"/>
          <w:color w:val="000000"/>
          <w:sz w:val="44"/>
          <w:szCs w:val="44"/>
        </w:rPr>
      </w:pPr>
      <w:r>
        <w:rPr>
          <w:rFonts w:hint="eastAsia" w:ascii="Times New Roman" w:hAnsi="方正小标宋简体" w:eastAsia="方正小标宋简体" w:cs="方正小标宋简体"/>
          <w:sz w:val="44"/>
          <w:szCs w:val="44"/>
        </w:rPr>
        <w:t>交通事故</w:t>
      </w:r>
      <w:r>
        <w:rPr>
          <w:rFonts w:hint="eastAsia" w:ascii="方正小标宋简体" w:hAnsi="方正小标宋简体" w:eastAsia="方正小标宋简体" w:cs="方正小标宋简体"/>
          <w:color w:val="000000"/>
          <w:sz w:val="44"/>
          <w:szCs w:val="44"/>
        </w:rPr>
        <w:t>评估组成员名单</w:t>
      </w:r>
    </w:p>
    <w:p w14:paraId="09A14F4A">
      <w:pPr>
        <w:spacing w:line="600" w:lineRule="exact"/>
        <w:ind w:firstLine="880" w:firstLineChars="200"/>
        <w:rPr>
          <w:rFonts w:ascii="方正小标宋简体" w:hAnsi="方正小标宋简体" w:eastAsia="方正小标宋简体" w:cs="方正小标宋简体"/>
          <w:color w:val="000000"/>
          <w:sz w:val="44"/>
          <w:szCs w:val="44"/>
        </w:rPr>
      </w:pPr>
    </w:p>
    <w:p w14:paraId="05698F4F">
      <w:pPr>
        <w:pStyle w:val="3"/>
      </w:pPr>
    </w:p>
    <w:p w14:paraId="0B36A184">
      <w:pPr>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 xml:space="preserve">组长：袁  鸿  </w:t>
      </w:r>
      <w:r>
        <w:rPr>
          <w:rFonts w:hint="eastAsia" w:eastAsia="仿宋_GB2312"/>
          <w:sz w:val="32"/>
          <w:szCs w:val="32"/>
        </w:rPr>
        <w:t>新罗</w:t>
      </w:r>
      <w:r>
        <w:rPr>
          <w:rFonts w:eastAsia="仿宋_GB2312"/>
          <w:sz w:val="32"/>
          <w:szCs w:val="32"/>
        </w:rPr>
        <w:t>区应急</w:t>
      </w:r>
      <w:r>
        <w:rPr>
          <w:rFonts w:hint="eastAsia" w:eastAsia="仿宋_GB2312"/>
          <w:sz w:val="32"/>
          <w:szCs w:val="32"/>
        </w:rPr>
        <w:t>管理</w:t>
      </w:r>
      <w:r>
        <w:rPr>
          <w:rFonts w:eastAsia="仿宋_GB2312"/>
          <w:sz w:val="32"/>
          <w:szCs w:val="32"/>
        </w:rPr>
        <w:t>局</w:t>
      </w:r>
      <w:r>
        <w:rPr>
          <w:rFonts w:hint="eastAsia" w:eastAsia="仿宋_GB2312"/>
          <w:sz w:val="32"/>
          <w:szCs w:val="32"/>
        </w:rPr>
        <w:t>综合执法大队</w:t>
      </w:r>
    </w:p>
    <w:p w14:paraId="07DF410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成员：廖仲方  新罗区交通运输局</w:t>
      </w:r>
    </w:p>
    <w:p w14:paraId="06F0621B">
      <w:pPr>
        <w:spacing w:line="560" w:lineRule="exact"/>
        <w:ind w:left="2909" w:leftChars="304" w:hanging="2240" w:hangingChars="7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张景年  市公安局交警支队新罗大队</w:t>
      </w:r>
    </w:p>
    <w:p w14:paraId="6DEA56E2">
      <w:pPr>
        <w:spacing w:line="560" w:lineRule="exact"/>
        <w:ind w:left="2909" w:leftChars="304" w:hanging="2240" w:hangingChars="7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李桂兰  新罗区总工会</w:t>
      </w:r>
    </w:p>
    <w:p w14:paraId="2BA62F51">
      <w:pPr>
        <w:spacing w:line="560" w:lineRule="exact"/>
        <w:ind w:left="2459" w:leftChars="754" w:hanging="800" w:hangingChars="250"/>
        <w:rPr>
          <w:rFonts w:ascii="仿宋_GB2312" w:hAnsi="仿宋_GB2312" w:eastAsia="仿宋_GB2312" w:cs="仿宋_GB2312"/>
          <w:sz w:val="32"/>
          <w:szCs w:val="32"/>
        </w:rPr>
      </w:pPr>
      <w:r>
        <w:rPr>
          <w:rFonts w:hint="eastAsia" w:ascii="仿宋_GB2312" w:hAnsi="仿宋_GB2312" w:eastAsia="仿宋_GB2312" w:cs="仿宋_GB2312"/>
          <w:sz w:val="32"/>
          <w:szCs w:val="32"/>
        </w:rPr>
        <w:t>陈振军  龙岩市公安局曹溪派出所</w:t>
      </w:r>
    </w:p>
    <w:p w14:paraId="057735CB">
      <w:pPr>
        <w:spacing w:line="560" w:lineRule="exact"/>
        <w:ind w:left="2459" w:leftChars="754" w:hanging="800" w:hangingChars="250"/>
        <w:rPr>
          <w:rFonts w:ascii="仿宋_GB2312" w:hAnsi="仿宋_GB2312" w:eastAsia="仿宋_GB2312" w:cs="仿宋_GB2312"/>
          <w:sz w:val="32"/>
          <w:szCs w:val="32"/>
        </w:rPr>
      </w:pPr>
      <w:r>
        <w:rPr>
          <w:rFonts w:hint="eastAsia" w:ascii="仿宋_GB2312" w:hAnsi="仿宋_GB2312" w:eastAsia="仿宋_GB2312" w:cs="仿宋_GB2312"/>
          <w:sz w:val="32"/>
          <w:szCs w:val="32"/>
        </w:rPr>
        <w:t>谢佳斌  新罗区应急管理局</w:t>
      </w:r>
    </w:p>
    <w:p w14:paraId="5330D037">
      <w:pPr>
        <w:spacing w:line="560" w:lineRule="exact"/>
        <w:ind w:left="2909" w:leftChars="304" w:hanging="2240" w:hangingChars="7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游洪炼  新罗区应急管理局</w:t>
      </w:r>
    </w:p>
    <w:p w14:paraId="5AF717FE">
      <w:pPr>
        <w:spacing w:line="560" w:lineRule="exact"/>
        <w:ind w:left="2909" w:leftChars="304" w:hanging="2240" w:hangingChars="7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张健平  新罗区应急管理局</w:t>
      </w:r>
    </w:p>
    <w:p w14:paraId="2A196B6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FB7406E">
      <w:pPr>
        <w:spacing w:after="0" w:line="600" w:lineRule="exact"/>
        <w:rPr>
          <w:rFonts w:asciiTheme="majorEastAsia" w:hAnsiTheme="majorEastAsia" w:eastAsiaTheme="majorEastAsia"/>
          <w:b/>
          <w:sz w:val="36"/>
          <w:szCs w:val="36"/>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033D5A"/>
    <w:rsid w:val="00132AE6"/>
    <w:rsid w:val="00153347"/>
    <w:rsid w:val="001758DB"/>
    <w:rsid w:val="00250716"/>
    <w:rsid w:val="00255104"/>
    <w:rsid w:val="00262FF5"/>
    <w:rsid w:val="00284260"/>
    <w:rsid w:val="00323B43"/>
    <w:rsid w:val="003468D0"/>
    <w:rsid w:val="003747A2"/>
    <w:rsid w:val="003D3014"/>
    <w:rsid w:val="003D37D8"/>
    <w:rsid w:val="00426133"/>
    <w:rsid w:val="004358AB"/>
    <w:rsid w:val="004E679F"/>
    <w:rsid w:val="005B25EB"/>
    <w:rsid w:val="005C2408"/>
    <w:rsid w:val="005E79DC"/>
    <w:rsid w:val="00617FA9"/>
    <w:rsid w:val="00622DF3"/>
    <w:rsid w:val="00650B46"/>
    <w:rsid w:val="00682A0C"/>
    <w:rsid w:val="007A60D3"/>
    <w:rsid w:val="007D113E"/>
    <w:rsid w:val="008B7726"/>
    <w:rsid w:val="008D0ADE"/>
    <w:rsid w:val="0092267C"/>
    <w:rsid w:val="00997A6B"/>
    <w:rsid w:val="009D739D"/>
    <w:rsid w:val="00AB5CF3"/>
    <w:rsid w:val="00AF2F3F"/>
    <w:rsid w:val="00AF574E"/>
    <w:rsid w:val="00B4089A"/>
    <w:rsid w:val="00BB4164"/>
    <w:rsid w:val="00BF4536"/>
    <w:rsid w:val="00C610AA"/>
    <w:rsid w:val="00D31D50"/>
    <w:rsid w:val="00DB09F9"/>
    <w:rsid w:val="00DB2B0C"/>
    <w:rsid w:val="00FB5131"/>
    <w:rsid w:val="40897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7"/>
    <w:semiHidden/>
    <w:unhideWhenUsed/>
    <w:qFormat/>
    <w:uiPriority w:val="99"/>
    <w:pPr>
      <w:ind w:left="100" w:leftChars="2500"/>
    </w:pPr>
  </w:style>
  <w:style w:type="paragraph" w:styleId="3">
    <w:name w:val="Balloon Text"/>
    <w:basedOn w:val="1"/>
    <w:link w:val="13"/>
    <w:qFormat/>
    <w:uiPriority w:val="0"/>
    <w:pPr>
      <w:widowControl w:val="0"/>
      <w:adjustRightInd/>
      <w:snapToGrid/>
      <w:spacing w:after="0"/>
      <w:jc w:val="both"/>
    </w:pPr>
    <w:rPr>
      <w:rFonts w:ascii="Calibri" w:hAnsi="Calibri" w:eastAsia="宋体" w:cs="Times New Roman"/>
      <w:kern w:val="2"/>
      <w:sz w:val="18"/>
      <w:szCs w:val="18"/>
    </w:rPr>
  </w:style>
  <w:style w:type="paragraph" w:styleId="4">
    <w:name w:val="footer"/>
    <w:basedOn w:val="1"/>
    <w:link w:val="12"/>
    <w:unhideWhenUsed/>
    <w:uiPriority w:val="0"/>
    <w:pPr>
      <w:tabs>
        <w:tab w:val="center" w:pos="4153"/>
        <w:tab w:val="right" w:pos="8306"/>
      </w:tabs>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jc w:val="center"/>
    </w:pPr>
    <w:rPr>
      <w:sz w:val="18"/>
      <w:szCs w:val="18"/>
    </w:rPr>
  </w:style>
  <w:style w:type="paragraph" w:styleId="6">
    <w:name w:val="footnote text"/>
    <w:basedOn w:val="1"/>
    <w:link w:val="15"/>
    <w:semiHidden/>
    <w:unhideWhenUsed/>
    <w:qFormat/>
    <w:uiPriority w:val="99"/>
    <w:pPr>
      <w:adjustRightInd/>
      <w:spacing w:after="0"/>
    </w:pPr>
    <w:rPr>
      <w:rFonts w:asciiTheme="minorHAnsi" w:hAnsiTheme="minorHAnsi" w:eastAsiaTheme="minorEastAsia"/>
      <w:kern w:val="2"/>
      <w:sz w:val="18"/>
      <w:szCs w:val="18"/>
    </w:rPr>
  </w:style>
  <w:style w:type="paragraph" w:styleId="7">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10">
    <w:name w:val="footnote reference"/>
    <w:basedOn w:val="9"/>
    <w:semiHidden/>
    <w:unhideWhenUsed/>
    <w:qFormat/>
    <w:uiPriority w:val="99"/>
    <w:rPr>
      <w:vertAlign w:val="superscript"/>
    </w:rPr>
  </w:style>
  <w:style w:type="character" w:customStyle="1" w:styleId="11">
    <w:name w:val="页眉 Char"/>
    <w:basedOn w:val="9"/>
    <w:link w:val="5"/>
    <w:semiHidden/>
    <w:uiPriority w:val="99"/>
    <w:rPr>
      <w:rFonts w:ascii="Tahoma" w:hAnsi="Tahoma"/>
      <w:sz w:val="18"/>
      <w:szCs w:val="18"/>
    </w:rPr>
  </w:style>
  <w:style w:type="character" w:customStyle="1" w:styleId="12">
    <w:name w:val="页脚 Char"/>
    <w:basedOn w:val="9"/>
    <w:link w:val="4"/>
    <w:semiHidden/>
    <w:uiPriority w:val="99"/>
    <w:rPr>
      <w:rFonts w:ascii="Tahoma" w:hAnsi="Tahoma"/>
      <w:sz w:val="18"/>
      <w:szCs w:val="18"/>
    </w:rPr>
  </w:style>
  <w:style w:type="character" w:customStyle="1" w:styleId="13">
    <w:name w:val="批注框文本 Char"/>
    <w:basedOn w:val="9"/>
    <w:link w:val="3"/>
    <w:uiPriority w:val="0"/>
    <w:rPr>
      <w:rFonts w:ascii="Calibri" w:hAnsi="Calibri" w:eastAsia="宋体" w:cs="Times New Roman"/>
      <w:kern w:val="2"/>
      <w:sz w:val="18"/>
      <w:szCs w:val="18"/>
    </w:rPr>
  </w:style>
  <w:style w:type="character" w:customStyle="1" w:styleId="14">
    <w:name w:val="fontstyle01"/>
    <w:basedOn w:val="9"/>
    <w:uiPriority w:val="0"/>
    <w:rPr>
      <w:rFonts w:hint="eastAsia" w:ascii="仿宋_GB2312" w:eastAsia="仿宋_GB2312"/>
      <w:color w:val="000000"/>
      <w:sz w:val="32"/>
      <w:szCs w:val="32"/>
    </w:rPr>
  </w:style>
  <w:style w:type="character" w:customStyle="1" w:styleId="15">
    <w:name w:val="脚注文本 Char"/>
    <w:basedOn w:val="9"/>
    <w:link w:val="6"/>
    <w:semiHidden/>
    <w:qFormat/>
    <w:uiPriority w:val="99"/>
    <w:rPr>
      <w:rFonts w:eastAsiaTheme="minorEastAsia"/>
      <w:kern w:val="2"/>
      <w:sz w:val="18"/>
      <w:szCs w:val="18"/>
    </w:rPr>
  </w:style>
  <w:style w:type="paragraph" w:styleId="16">
    <w:name w:val="List Paragraph"/>
    <w:basedOn w:val="1"/>
    <w:qFormat/>
    <w:uiPriority w:val="34"/>
    <w:pPr>
      <w:ind w:firstLine="420" w:firstLineChars="200"/>
    </w:pPr>
  </w:style>
  <w:style w:type="character" w:customStyle="1" w:styleId="17">
    <w:name w:val="日期 Char"/>
    <w:basedOn w:val="9"/>
    <w:link w:val="2"/>
    <w:semiHidden/>
    <w:uiPriority w:val="99"/>
    <w:rPr>
      <w:rFonts w:ascii="Tahoma" w:hAnsi="Tahom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2894</Words>
  <Characters>3033</Characters>
  <Lines>22</Lines>
  <Paragraphs>6</Paragraphs>
  <TotalTime>122</TotalTime>
  <ScaleCrop>false</ScaleCrop>
  <LinksUpToDate>false</LinksUpToDate>
  <CharactersWithSpaces>3111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澄澈</cp:lastModifiedBy>
  <cp:lastPrinted>2025-07-07T02:52:00Z</cp:lastPrinted>
  <dcterms:modified xsi:type="dcterms:W3CDTF">2026-06-18T01:47:19Z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eyJoZGlkIjoiMGI3YWJmZmUwNDQ1MDk5NDE4YTg5ODZiNzAxMzk3NDEiLCJ1c2VySWQiOiIzOTMwMDYyMjYifQ==</vt:lpwstr>
  </property>
  <property fmtid="{D5CDD505-2E9C-101B-9397-08002B2CF9AE}" pid="3" name="KSOProductBuildVer">
    <vt:lpwstr>2052-12.1.0.26895</vt:lpwstr>
  </property>
  <property fmtid="{D5CDD505-2E9C-101B-9397-08002B2CF9AE}" pid="4" name="ICV">
    <vt:lpwstr>98404ECA4D5F4BD9B68F4406970DBBFB_12</vt:lpwstr>
  </property>
</Properties>
</file>