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CCB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2A01ED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77769A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1CFCD8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1A17A7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bookmarkStart w:id="0" w:name="_GoBack"/>
      <w:bookmarkEnd w:id="0"/>
    </w:p>
    <w:p w14:paraId="0FC07B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</w:p>
    <w:p w14:paraId="11E306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</w:pPr>
    </w:p>
    <w:p w14:paraId="310B9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eastAsia="zh-CN"/>
        </w:rPr>
        <w:t>新罗区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县域商业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  <w:t>建设</w:t>
      </w:r>
      <w:r>
        <w:rPr>
          <w:rFonts w:hint="eastAsia" w:ascii="Times New Roman" w:hAnsi="Times New Roman" w:eastAsia="方正小标宋简体" w:cs="Times New Roman"/>
          <w:spacing w:val="0"/>
          <w:sz w:val="44"/>
          <w:szCs w:val="44"/>
          <w:lang w:eastAsia="zh-CN"/>
        </w:rPr>
        <w:t>行动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  <w:t>工作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</w:rPr>
        <w:t>领导小组</w:t>
      </w: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eastAsia="zh-CN"/>
        </w:rPr>
        <w:t>办公室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公开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征集202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4年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县域商业</w:t>
      </w:r>
    </w:p>
    <w:p w14:paraId="7D112F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</w:rPr>
        <w:t>建设行动项目的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通知</w:t>
      </w:r>
    </w:p>
    <w:p w14:paraId="0DE02D4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E34493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各镇人民政府、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街道办事处、区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直有关单位:</w:t>
      </w:r>
    </w:p>
    <w:p w14:paraId="12636E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根据《龙岩市商务局 龙岩市财政局 龙岩市农业农村局关于2024年县域商业建设行动资金申报的通知》及龙岩市商务局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相关工作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要求，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现向全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范围内公开征集2024年符合县域商业建设行动支持方向和内容的项目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请各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镇街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、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直有关单位认真研究、广泛宣传动员，并于2024年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29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日前将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县域商业网点、县域物流网络、县域流通网络、县域产业发展和废旧家电家具再生资源回收共五类项目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推荐（附件2）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至区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商务局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，前期已报送的项目不再重复报送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。</w:t>
      </w:r>
    </w:p>
    <w:p w14:paraId="3F35EF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联系人：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蓝俊晖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 xml:space="preserve">          联系电话：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3290619</w:t>
      </w:r>
    </w:p>
    <w:p w14:paraId="36301E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传  真：0597-3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390326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 xml:space="preserve">  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电子邮箱：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instrText xml:space="preserve"> HYPERLINK "mailto:shxswzf@163.com" </w:instrTex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fldChar w:fldCharType="separate"/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lt3296530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@163.com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fldChar w:fldCharType="end"/>
      </w:r>
    </w:p>
    <w:p w14:paraId="6D113E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</w:p>
    <w:p w14:paraId="3995B9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附件：1.资金支持项目类型和标准</w:t>
      </w:r>
    </w:p>
    <w:p w14:paraId="4206CE1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1600" w:firstLineChars="500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2.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color="auto" w:fill="auto"/>
          <w:lang w:val="en-US" w:eastAsia="zh-CN" w:bidi="ar"/>
        </w:rPr>
        <w:t>新罗区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color="auto" w:fill="auto"/>
          <w:lang w:val="en-US" w:eastAsia="zh-CN" w:bidi="ar"/>
        </w:rPr>
        <w:t>2024年县域商业建设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color="auto" w:fill="auto"/>
          <w:lang w:val="en-US" w:eastAsia="zh-CN" w:bidi="ar"/>
        </w:rPr>
        <w:t>行动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-6"/>
          <w:kern w:val="0"/>
          <w:sz w:val="32"/>
          <w:szCs w:val="32"/>
          <w:shd w:val="clear" w:color="auto" w:fill="auto"/>
          <w:lang w:val="en-US" w:eastAsia="zh-CN" w:bidi="ar"/>
        </w:rPr>
        <w:t>项目清单</w:t>
      </w:r>
    </w:p>
    <w:p w14:paraId="1F3B6B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3999E5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47618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2240" w:firstLineChars="7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新罗区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县域商业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建设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行动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领导小组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办公室</w:t>
      </w:r>
    </w:p>
    <w:p w14:paraId="5FC5BF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3840" w:firstLineChars="1200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（新罗区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商务局代章）</w:t>
      </w:r>
    </w:p>
    <w:p w14:paraId="7B06E1F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 xml:space="preserve">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       2024年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日   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 xml:space="preserve">      </w:t>
      </w:r>
    </w:p>
    <w:p w14:paraId="4787AC66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261A27E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E2733E3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4641794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190F9EA3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2936F1A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0B3FA37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BCBB7CC">
      <w:pPr>
        <w:keepNext w:val="0"/>
        <w:keepLines w:val="0"/>
        <w:widowControl/>
        <w:suppressLineNumbers w:val="0"/>
        <w:shd w:val="clear" w:color="auto" w:fill="FFFFFF"/>
        <w:spacing w:before="100" w:beforeAutospacing="1" w:after="100" w:afterAutospacing="1"/>
        <w:ind w:right="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67454F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</w:p>
    <w:p w14:paraId="7F07C9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附件1</w:t>
      </w:r>
    </w:p>
    <w:p w14:paraId="2581CC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</w:p>
    <w:p w14:paraId="6B30C7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  <w:t>资金支持项目类型和标准</w:t>
      </w:r>
    </w:p>
    <w:p w14:paraId="325B800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</w:p>
    <w:p w14:paraId="34ADD88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（一）县域商业网点。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建设改造乡镇商贸中心、集贸市场(指进行农副产品、日用消费品等现货商品交易的综合型固定场所，以食用农产品现货零售交易为主的农贸市场不在支持范围内)。每个乡镇最多支持一个，新建项目最高支持200万元，改造项目最高支持120万元。乡镇商贸中心等民生项目除企业外，也可由乡镇政府作为责任主体（必须有文件明确规定的运营管理单位）。</w:t>
      </w:r>
    </w:p>
    <w:p w14:paraId="037181FA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（二）县域物流网络。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县域邮政、快递企业整合资源，发展共同配送，建设改造县级物流配送中心和乡镇快递物流站点(村级站点不在支持范围内)，包括购买改造仓储、分拣、包装、装卸、运输、配送等设施设备，不含物流配送信息管理系统开发。每县最多支持一个整合项目，每个项目最高支持500万元。已获得电子商务进农村综合示范资金支持的项目不再重复支持。</w:t>
      </w:r>
    </w:p>
    <w:p w14:paraId="5DD6D614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（三）县域流通网络。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商贸流通企业建设改造用于提供县域内线上下单、线下配送服务的前置仓等设施设备，每个项目最高支持200万元。</w:t>
      </w:r>
    </w:p>
    <w:p w14:paraId="183F5AE7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（四）县域产业发展。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商贸流通、电商企业建设改造分拣、预冷、初加工等农产品商品化处理设施；获得当地政府授权的企业建设改造区域公共品牌产品展销中心。每县最多支持建设改造一个区域公共品牌产品展销中心。每个项目最高支持400万元。</w:t>
      </w:r>
    </w:p>
    <w:p w14:paraId="18CFCD53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（五）</w:t>
      </w:r>
      <w:r>
        <w:rPr>
          <w:rFonts w:hint="default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废旧家电家具再生资源回收。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完善县域再生资源回收体系中转设施。支持改造建设县域废旧家电家具回收、中转、集散站点；支持乡镇商贸中心等商业网点提供废旧家电回收，二手家电经销、维修等生活服务，改造建设废旧家电暂存、周转相关设施；支持废旧家电回收企业配备再生资源回收车辆，推广“以车代库”等灵活流动回收模式（原则上县域商业建设行动资金不支持投资金额较大的家电分拣中心，或报废机动车拆解中心等建设）。对2024年1月后新建项目最高支持200万元，改造项目最高支持120万元。各设区市可优先安排此类项目，每县最多支持一个。</w:t>
      </w:r>
    </w:p>
    <w:p w14:paraId="112F8660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上述支持项目类型由企业作为责任主体，按照“先建后补”的原则，经认定后给予不超过项目实际投入(不含税)50%的补助（需经竣工验收并已实际运营，不再要求运营需满6个月）。项目实际投入不含不动产购置、租赁费用，以及人员经费、水电费等经常性开支，实际投入金额由第三方专业机构审核认定。单个项目补助低于10万元的原则上不予支持。每个县（区）拟申报的县域商业建设项目（承诺自申报之日起1年内可完工的项目）拟支持金额合计应超过400万元。</w:t>
      </w:r>
    </w:p>
    <w:p w14:paraId="090BA761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36B436D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FFD0B2F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sectPr>
          <w:footerReference r:id="rId3" w:type="default"/>
          <w:pgSz w:w="11906" w:h="16838"/>
          <w:pgMar w:top="1928" w:right="1531" w:bottom="1701" w:left="1531" w:header="851" w:footer="992" w:gutter="0"/>
          <w:paperSrc/>
          <w:pgNumType w:fmt="decimal"/>
          <w:cols w:space="720" w:num="1"/>
          <w:rtlGutter w:val="0"/>
          <w:docGrid w:type="lines" w:linePitch="312" w:charSpace="0"/>
        </w:sectPr>
      </w:pPr>
    </w:p>
    <w:p w14:paraId="202FCCF8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 w14:paraId="7C8FF8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  <w:t>上杭县2024年县域商业建设</w:t>
      </w:r>
      <w:r>
        <w:rPr>
          <w:rFonts w:hint="eastAsia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  <w:t>行动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auto"/>
          <w:lang w:val="en-US" w:eastAsia="zh-CN" w:bidi="ar"/>
        </w:rPr>
        <w:t>项目清单</w:t>
      </w:r>
    </w:p>
    <w:p w14:paraId="08E1AAAD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20" w:firstLineChars="1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填报单位：                                                       日期：</w:t>
      </w:r>
    </w:p>
    <w:tbl>
      <w:tblPr>
        <w:tblStyle w:val="6"/>
        <w:tblW w:w="139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879"/>
        <w:gridCol w:w="879"/>
        <w:gridCol w:w="736"/>
        <w:gridCol w:w="736"/>
        <w:gridCol w:w="801"/>
        <w:gridCol w:w="851"/>
        <w:gridCol w:w="764"/>
        <w:gridCol w:w="1001"/>
        <w:gridCol w:w="1202"/>
        <w:gridCol w:w="1140"/>
        <w:gridCol w:w="1315"/>
        <w:gridCol w:w="1030"/>
        <w:gridCol w:w="1030"/>
        <w:gridCol w:w="1030"/>
      </w:tblGrid>
      <w:tr w14:paraId="2697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2" w:type="dxa"/>
            <w:noWrap w:val="0"/>
            <w:vAlign w:val="top"/>
          </w:tcPr>
          <w:p w14:paraId="391D9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1CD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79" w:type="dxa"/>
            <w:noWrap w:val="0"/>
            <w:vAlign w:val="top"/>
          </w:tcPr>
          <w:p w14:paraId="101CA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86E6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E83A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</w:t>
            </w:r>
          </w:p>
        </w:tc>
        <w:tc>
          <w:tcPr>
            <w:tcW w:w="879" w:type="dxa"/>
            <w:noWrap w:val="0"/>
            <w:vAlign w:val="top"/>
          </w:tcPr>
          <w:p w14:paraId="2678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8F63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乡镇/村</w:t>
            </w:r>
          </w:p>
        </w:tc>
        <w:tc>
          <w:tcPr>
            <w:tcW w:w="736" w:type="dxa"/>
            <w:noWrap w:val="0"/>
            <w:vAlign w:val="top"/>
          </w:tcPr>
          <w:p w14:paraId="679C2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8825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6" w:type="dxa"/>
            <w:noWrap w:val="0"/>
            <w:vAlign w:val="top"/>
          </w:tcPr>
          <w:p w14:paraId="5079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E92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建设类型</w:t>
            </w:r>
          </w:p>
        </w:tc>
        <w:tc>
          <w:tcPr>
            <w:tcW w:w="801" w:type="dxa"/>
            <w:noWrap w:val="0"/>
            <w:vAlign w:val="top"/>
          </w:tcPr>
          <w:p w14:paraId="20574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068C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责任主体（企业）</w:t>
            </w:r>
          </w:p>
        </w:tc>
        <w:tc>
          <w:tcPr>
            <w:tcW w:w="851" w:type="dxa"/>
            <w:noWrap w:val="0"/>
            <w:vAlign w:val="center"/>
          </w:tcPr>
          <w:p w14:paraId="48227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计划投资额（万元）</w:t>
            </w:r>
          </w:p>
        </w:tc>
        <w:tc>
          <w:tcPr>
            <w:tcW w:w="764" w:type="dxa"/>
            <w:noWrap w:val="0"/>
            <w:vAlign w:val="center"/>
          </w:tcPr>
          <w:p w14:paraId="2857E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拟支持金额(万元)</w:t>
            </w:r>
          </w:p>
        </w:tc>
        <w:tc>
          <w:tcPr>
            <w:tcW w:w="1001" w:type="dxa"/>
            <w:noWrap w:val="0"/>
            <w:vAlign w:val="center"/>
          </w:tcPr>
          <w:p w14:paraId="058A8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202" w:type="dxa"/>
            <w:noWrap w:val="0"/>
            <w:vAlign w:val="center"/>
          </w:tcPr>
          <w:p w14:paraId="1CD0F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建设周期</w:t>
            </w:r>
          </w:p>
        </w:tc>
        <w:tc>
          <w:tcPr>
            <w:tcW w:w="1140" w:type="dxa"/>
            <w:noWrap w:val="0"/>
            <w:vAlign w:val="center"/>
          </w:tcPr>
          <w:p w14:paraId="0FDDF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实现功能</w:t>
            </w:r>
          </w:p>
        </w:tc>
        <w:tc>
          <w:tcPr>
            <w:tcW w:w="1315" w:type="dxa"/>
            <w:noWrap w:val="0"/>
            <w:vAlign w:val="center"/>
          </w:tcPr>
          <w:p w14:paraId="3132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责任单位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(政府部门)</w:t>
            </w:r>
          </w:p>
        </w:tc>
        <w:tc>
          <w:tcPr>
            <w:tcW w:w="1030" w:type="dxa"/>
            <w:noWrap w:val="0"/>
            <w:vAlign w:val="center"/>
          </w:tcPr>
          <w:p w14:paraId="549B0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030" w:type="dxa"/>
            <w:noWrap w:val="0"/>
            <w:vAlign w:val="center"/>
          </w:tcPr>
          <w:p w14:paraId="1FCDB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项目进度</w:t>
            </w:r>
          </w:p>
        </w:tc>
        <w:tc>
          <w:tcPr>
            <w:tcW w:w="1030" w:type="dxa"/>
            <w:noWrap w:val="0"/>
            <w:vAlign w:val="center"/>
          </w:tcPr>
          <w:p w14:paraId="25666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</w:t>
            </w:r>
          </w:p>
        </w:tc>
      </w:tr>
      <w:tr w14:paraId="1DCE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592" w:type="dxa"/>
            <w:noWrap w:val="0"/>
            <w:vAlign w:val="top"/>
          </w:tcPr>
          <w:p w14:paraId="2CD7E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42254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256AC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1F8BF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3514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01" w:type="dxa"/>
            <w:noWrap w:val="0"/>
            <w:vAlign w:val="top"/>
          </w:tcPr>
          <w:p w14:paraId="4C239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51" w:type="dxa"/>
            <w:noWrap w:val="0"/>
            <w:vAlign w:val="top"/>
          </w:tcPr>
          <w:p w14:paraId="79473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64" w:type="dxa"/>
            <w:noWrap w:val="0"/>
            <w:vAlign w:val="top"/>
          </w:tcPr>
          <w:p w14:paraId="416D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01" w:type="dxa"/>
            <w:noWrap w:val="0"/>
            <w:vAlign w:val="top"/>
          </w:tcPr>
          <w:p w14:paraId="13294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02" w:type="dxa"/>
            <w:noWrap w:val="0"/>
            <w:vAlign w:val="top"/>
          </w:tcPr>
          <w:p w14:paraId="795D7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  <w:noWrap w:val="0"/>
            <w:vAlign w:val="top"/>
          </w:tcPr>
          <w:p w14:paraId="35D1F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315" w:type="dxa"/>
            <w:noWrap w:val="0"/>
            <w:vAlign w:val="top"/>
          </w:tcPr>
          <w:p w14:paraId="7308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4BA63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3EC2A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622A0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4549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592" w:type="dxa"/>
            <w:noWrap w:val="0"/>
            <w:vAlign w:val="top"/>
          </w:tcPr>
          <w:p w14:paraId="28A89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59A4F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4A524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27272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5973E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01" w:type="dxa"/>
            <w:noWrap w:val="0"/>
            <w:vAlign w:val="top"/>
          </w:tcPr>
          <w:p w14:paraId="36A33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51" w:type="dxa"/>
            <w:noWrap w:val="0"/>
            <w:vAlign w:val="top"/>
          </w:tcPr>
          <w:p w14:paraId="67543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64" w:type="dxa"/>
            <w:noWrap w:val="0"/>
            <w:vAlign w:val="top"/>
          </w:tcPr>
          <w:p w14:paraId="325F6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01" w:type="dxa"/>
            <w:noWrap w:val="0"/>
            <w:vAlign w:val="top"/>
          </w:tcPr>
          <w:p w14:paraId="51C8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02" w:type="dxa"/>
            <w:noWrap w:val="0"/>
            <w:vAlign w:val="top"/>
          </w:tcPr>
          <w:p w14:paraId="11D4B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  <w:noWrap w:val="0"/>
            <w:vAlign w:val="top"/>
          </w:tcPr>
          <w:p w14:paraId="7BEDD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315" w:type="dxa"/>
            <w:noWrap w:val="0"/>
            <w:vAlign w:val="top"/>
          </w:tcPr>
          <w:p w14:paraId="4C9F7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1E122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6494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5BD67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  <w:tr w14:paraId="75ACE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592" w:type="dxa"/>
            <w:noWrap w:val="0"/>
            <w:vAlign w:val="top"/>
          </w:tcPr>
          <w:p w14:paraId="37A04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4A093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79" w:type="dxa"/>
            <w:noWrap w:val="0"/>
            <w:vAlign w:val="top"/>
          </w:tcPr>
          <w:p w14:paraId="28238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1D48B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36" w:type="dxa"/>
            <w:noWrap w:val="0"/>
            <w:vAlign w:val="top"/>
          </w:tcPr>
          <w:p w14:paraId="3E4F4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01" w:type="dxa"/>
            <w:noWrap w:val="0"/>
            <w:vAlign w:val="top"/>
          </w:tcPr>
          <w:p w14:paraId="40F53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851" w:type="dxa"/>
            <w:noWrap w:val="0"/>
            <w:vAlign w:val="top"/>
          </w:tcPr>
          <w:p w14:paraId="3B936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764" w:type="dxa"/>
            <w:noWrap w:val="0"/>
            <w:vAlign w:val="top"/>
          </w:tcPr>
          <w:p w14:paraId="41057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01" w:type="dxa"/>
            <w:noWrap w:val="0"/>
            <w:vAlign w:val="top"/>
          </w:tcPr>
          <w:p w14:paraId="75754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202" w:type="dxa"/>
            <w:noWrap w:val="0"/>
            <w:vAlign w:val="top"/>
          </w:tcPr>
          <w:p w14:paraId="0BEAA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140" w:type="dxa"/>
            <w:noWrap w:val="0"/>
            <w:vAlign w:val="top"/>
          </w:tcPr>
          <w:p w14:paraId="0AE90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315" w:type="dxa"/>
            <w:noWrap w:val="0"/>
            <w:vAlign w:val="top"/>
          </w:tcPr>
          <w:p w14:paraId="7DCA5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17317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7A919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  <w:tc>
          <w:tcPr>
            <w:tcW w:w="1030" w:type="dxa"/>
            <w:noWrap w:val="0"/>
            <w:vAlign w:val="top"/>
          </w:tcPr>
          <w:p w14:paraId="14248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color="auto" w:fill="FFFFFF"/>
                <w:vertAlign w:val="baseline"/>
                <w:lang w:val="en-US" w:eastAsia="zh-CN" w:bidi="ar"/>
              </w:rPr>
            </w:pPr>
          </w:p>
        </w:tc>
      </w:tr>
    </w:tbl>
    <w:p w14:paraId="3CC7F8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1658A0"/>
          <w:spacing w:val="0"/>
          <w:sz w:val="32"/>
          <w:szCs w:val="32"/>
          <w:shd w:val="clear" w:color="auto" w:fill="FFFFFF"/>
        </w:rPr>
      </w:pPr>
    </w:p>
    <w:sectPr>
      <w:pgSz w:w="16838" w:h="11906" w:orient="landscape"/>
      <w:pgMar w:top="1587" w:right="1440" w:bottom="1474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C94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A53A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3A53A5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OWRlMDg3ZmNmNGRiNzhmMDc2MTZiNDg0NmY1MzkifQ=="/>
    <w:docVar w:name="KSO_WPS_MARK_KEY" w:val="1b3c4995-2f1f-4995-b4de-b0a0f5f99ae8"/>
  </w:docVars>
  <w:rsids>
    <w:rsidRoot w:val="00000000"/>
    <w:rsid w:val="0088539F"/>
    <w:rsid w:val="027F30A7"/>
    <w:rsid w:val="04944303"/>
    <w:rsid w:val="05140234"/>
    <w:rsid w:val="07465DF0"/>
    <w:rsid w:val="07750484"/>
    <w:rsid w:val="091066B6"/>
    <w:rsid w:val="09EF4C97"/>
    <w:rsid w:val="09FD5468"/>
    <w:rsid w:val="0CAE1730"/>
    <w:rsid w:val="0F2A5FF8"/>
    <w:rsid w:val="109D21ED"/>
    <w:rsid w:val="12410429"/>
    <w:rsid w:val="139C2F7A"/>
    <w:rsid w:val="13E26EA1"/>
    <w:rsid w:val="15130FA6"/>
    <w:rsid w:val="175B37E4"/>
    <w:rsid w:val="18D56FD4"/>
    <w:rsid w:val="1A8B185D"/>
    <w:rsid w:val="1D15278B"/>
    <w:rsid w:val="1E9D4066"/>
    <w:rsid w:val="240D7F6A"/>
    <w:rsid w:val="25327A4E"/>
    <w:rsid w:val="2AA67C0A"/>
    <w:rsid w:val="2AED4646"/>
    <w:rsid w:val="2C2A0595"/>
    <w:rsid w:val="2C8F09C8"/>
    <w:rsid w:val="2E6D4943"/>
    <w:rsid w:val="2E7C1840"/>
    <w:rsid w:val="2F350675"/>
    <w:rsid w:val="2F8A204D"/>
    <w:rsid w:val="2FE51D9B"/>
    <w:rsid w:val="31B936AA"/>
    <w:rsid w:val="353B7AF0"/>
    <w:rsid w:val="35CB1D3A"/>
    <w:rsid w:val="35D000A0"/>
    <w:rsid w:val="36C271A6"/>
    <w:rsid w:val="3B482524"/>
    <w:rsid w:val="3B660234"/>
    <w:rsid w:val="3D622C7D"/>
    <w:rsid w:val="40AA634A"/>
    <w:rsid w:val="40EA43AA"/>
    <w:rsid w:val="42B9657B"/>
    <w:rsid w:val="44706AEB"/>
    <w:rsid w:val="44E42E01"/>
    <w:rsid w:val="454B3FF6"/>
    <w:rsid w:val="47E56302"/>
    <w:rsid w:val="4F2B5B32"/>
    <w:rsid w:val="4FF04118"/>
    <w:rsid w:val="52415084"/>
    <w:rsid w:val="52A53977"/>
    <w:rsid w:val="53D23ED3"/>
    <w:rsid w:val="59D32AE1"/>
    <w:rsid w:val="5A3F202C"/>
    <w:rsid w:val="5CAD413D"/>
    <w:rsid w:val="5D1C4E50"/>
    <w:rsid w:val="5D7F0889"/>
    <w:rsid w:val="63CB65D6"/>
    <w:rsid w:val="651B26E5"/>
    <w:rsid w:val="65851032"/>
    <w:rsid w:val="6C164AAF"/>
    <w:rsid w:val="6E896C11"/>
    <w:rsid w:val="714479C8"/>
    <w:rsid w:val="72DD1E82"/>
    <w:rsid w:val="748E4A7A"/>
    <w:rsid w:val="759F5862"/>
    <w:rsid w:val="78C338C8"/>
    <w:rsid w:val="79D81204"/>
    <w:rsid w:val="7BB46F78"/>
    <w:rsid w:val="7DFD79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Calibri" w:hAnsi="Calibri" w:eastAsia="黑体" w:cs="Times New Roman"/>
      <w:b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1504</Words>
  <Characters>1587</Characters>
  <Lines>0</Lines>
  <Paragraphs>0</Paragraphs>
  <TotalTime>12</TotalTime>
  <ScaleCrop>false</ScaleCrop>
  <LinksUpToDate>false</LinksUpToDate>
  <CharactersWithSpaces>1695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2023-12-29T08:13:22Z</dcterms:created>
  <dc:creator>Administrator</dc:creator>
  <cp:lastModifiedBy>浮晖一梦</cp:lastModifiedBy>
  <cp:lastPrinted>2024-08-26T09:27:23Z</cp:lastPrinted>
  <dcterms:modified xsi:type="dcterms:W3CDTF">2025-06-17T07:05:59Z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7A89D1DFF8504ABD9C5EB7915FAB5177_13</vt:lpwstr>
  </property>
  <property fmtid="{D5CDD505-2E9C-101B-9397-08002B2CF9AE}" pid="4" name="KSOTemplateDocerSaveRecord">
    <vt:lpwstr>eyJoZGlkIjoiMTVjMDI0M2E0MDcyMjRiNDBlZTY3MDM3NjQzODQ2ZTEiLCJ1c2VySWQiOiIzMDQ5NjA2OTEifQ==</vt:lpwstr>
  </property>
</Properties>
</file>